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BD" w:rsidRPr="00C824BD" w:rsidRDefault="00C824BD" w:rsidP="00C824BD">
      <w:pPr>
        <w:rPr>
          <w:b/>
        </w:rPr>
      </w:pPr>
      <w:r w:rsidRPr="00C824BD">
        <w:rPr>
          <w:b/>
        </w:rPr>
        <w:t>Definition</w:t>
      </w:r>
      <w:r w:rsidR="00AB73AC">
        <w:rPr>
          <w:b/>
        </w:rPr>
        <w:t xml:space="preserve"> of Material Modification:</w:t>
      </w:r>
    </w:p>
    <w:p w:rsidR="00AB73AC" w:rsidRPr="00AB73AC" w:rsidRDefault="00AB73AC" w:rsidP="00AB73AC">
      <w:pPr>
        <w:numPr>
          <w:ilvl w:val="0"/>
          <w:numId w:val="4"/>
        </w:numPr>
        <w:rPr>
          <w:lang w:val="en"/>
        </w:rPr>
      </w:pPr>
      <w:r w:rsidRPr="00AB73AC">
        <w:rPr>
          <w:lang w:val="en"/>
        </w:rPr>
        <w:t xml:space="preserve">A modification to an existing or completed interconnection that will require a utility re-study that </w:t>
      </w:r>
      <w:r>
        <w:rPr>
          <w:lang w:val="en"/>
        </w:rPr>
        <w:t>will</w:t>
      </w:r>
      <w:r w:rsidRPr="00AB73AC">
        <w:rPr>
          <w:lang w:val="en"/>
        </w:rPr>
        <w:t xml:space="preserve"> take longer than 60 </w:t>
      </w:r>
      <w:r>
        <w:rPr>
          <w:lang w:val="en"/>
        </w:rPr>
        <w:t>business days</w:t>
      </w:r>
      <w:r w:rsidRPr="00AB73AC">
        <w:rPr>
          <w:lang w:val="en"/>
        </w:rPr>
        <w:t xml:space="preserve"> to complete, as determined by the utility</w:t>
      </w:r>
      <w:r w:rsidR="00FD42B2">
        <w:rPr>
          <w:lang w:val="en"/>
        </w:rPr>
        <w:t>,</w:t>
      </w:r>
      <w:r w:rsidRPr="00AB73AC">
        <w:rPr>
          <w:lang w:val="en"/>
        </w:rPr>
        <w:t xml:space="preserve"> in consultation with the customer. </w:t>
      </w:r>
    </w:p>
    <w:p w:rsidR="00AB73AC" w:rsidRPr="00AB73AC" w:rsidRDefault="00AB73AC" w:rsidP="00AB73AC">
      <w:pPr>
        <w:numPr>
          <w:ilvl w:val="0"/>
          <w:numId w:val="4"/>
        </w:numPr>
        <w:rPr>
          <w:lang w:val="en"/>
        </w:rPr>
      </w:pPr>
      <w:r w:rsidRPr="00AB73AC">
        <w:rPr>
          <w:lang w:val="en"/>
        </w:rPr>
        <w:t xml:space="preserve">A modification that will increase the AC output of the interconnecting facility by more than 2%.  </w:t>
      </w:r>
    </w:p>
    <w:p w:rsidR="00C824BD" w:rsidRPr="00C824BD" w:rsidRDefault="00C824BD" w:rsidP="00C824BD"/>
    <w:p w:rsidR="00C824BD" w:rsidRPr="00A053A0" w:rsidRDefault="00C824BD" w:rsidP="00C824BD">
      <w:pPr>
        <w:rPr>
          <w:b/>
        </w:rPr>
      </w:pPr>
      <w:r w:rsidRPr="00C824BD">
        <w:rPr>
          <w:b/>
        </w:rPr>
        <w:t>Process / Clarifications</w:t>
      </w:r>
    </w:p>
    <w:p w:rsidR="00C824BD" w:rsidRDefault="00C824BD" w:rsidP="00C824BD">
      <w:pPr>
        <w:numPr>
          <w:ilvl w:val="0"/>
          <w:numId w:val="3"/>
        </w:numPr>
      </w:pPr>
      <w:r w:rsidRPr="00C824BD">
        <w:t xml:space="preserve">The </w:t>
      </w:r>
      <w:r w:rsidR="00AB73AC">
        <w:t>60-</w:t>
      </w:r>
      <w:r w:rsidRPr="00C824BD">
        <w:t>business day limit is cumulative.  For example, if two changes are made and they each create a 25-day delay, then that project has caused a 50-day delay</w:t>
      </w:r>
    </w:p>
    <w:p w:rsidR="00AB73AC" w:rsidRPr="00C824BD" w:rsidRDefault="00AB73AC" w:rsidP="00C824BD">
      <w:pPr>
        <w:numPr>
          <w:ilvl w:val="0"/>
          <w:numId w:val="3"/>
        </w:numPr>
      </w:pPr>
      <w:r>
        <w:t>Process timeline to be determined</w:t>
      </w:r>
    </w:p>
    <w:p w:rsidR="00C824BD" w:rsidRPr="00C824BD" w:rsidRDefault="00A053A0" w:rsidP="00C824BD">
      <w:pPr>
        <w:numPr>
          <w:ilvl w:val="0"/>
          <w:numId w:val="3"/>
        </w:numPr>
      </w:pPr>
      <w:r w:rsidRPr="00C824BD">
        <w:t xml:space="preserve">Developers </w:t>
      </w:r>
      <w:r>
        <w:t>are</w:t>
      </w:r>
      <w:r w:rsidRPr="00C824BD">
        <w:t xml:space="preserve"> responsible for any a</w:t>
      </w:r>
      <w:r>
        <w:t xml:space="preserve">dditional fees incurred in a restudy of the proposed modification. </w:t>
      </w:r>
      <w:r w:rsidR="00C824BD" w:rsidRPr="00C824BD">
        <w:t xml:space="preserve">If a </w:t>
      </w:r>
      <w:r>
        <w:t>modification</w:t>
      </w:r>
      <w:r w:rsidR="00C824BD" w:rsidRPr="00C824BD">
        <w:t xml:space="preserve"> is going to require additional costs to study the impact of the change, etc. then the utility </w:t>
      </w:r>
      <w:r w:rsidR="00AB73AC">
        <w:t>will</w:t>
      </w:r>
      <w:r w:rsidR="00C824BD" w:rsidRPr="00C824BD">
        <w:t xml:space="preserve"> require these costs to be paid before beginning the study</w:t>
      </w:r>
    </w:p>
    <w:p w:rsidR="00C824BD" w:rsidRPr="00C824BD" w:rsidRDefault="00C824BD" w:rsidP="00A053A0">
      <w:pPr>
        <w:ind w:left="720"/>
      </w:pPr>
    </w:p>
    <w:p w:rsidR="00C824BD" w:rsidRPr="00C824BD" w:rsidRDefault="00C824BD" w:rsidP="00C824BD"/>
    <w:p w:rsidR="00C824BD" w:rsidRPr="00C824BD" w:rsidRDefault="00C824BD" w:rsidP="00C824BD">
      <w:pPr>
        <w:rPr>
          <w:b/>
        </w:rPr>
      </w:pPr>
      <w:r w:rsidRPr="00C824BD">
        <w:rPr>
          <w:b/>
        </w:rPr>
        <w:t>Examples</w:t>
      </w:r>
    </w:p>
    <w:p w:rsidR="00C824BD" w:rsidRPr="00C824BD" w:rsidRDefault="00C824BD" w:rsidP="00C824BD">
      <w:r w:rsidRPr="00C824BD">
        <w:t>Material Modifications, include, but are not limited to: </w:t>
      </w:r>
    </w:p>
    <w:p w:rsidR="00AB73AC" w:rsidRDefault="00AB73AC" w:rsidP="00C824BD">
      <w:pPr>
        <w:numPr>
          <w:ilvl w:val="0"/>
          <w:numId w:val="1"/>
        </w:numPr>
      </w:pPr>
      <w:r>
        <w:t>Any modification that will take longer than 60 BD to re-study</w:t>
      </w:r>
    </w:p>
    <w:p w:rsidR="00C824BD" w:rsidRPr="00C824BD" w:rsidRDefault="00C824BD" w:rsidP="00C824BD">
      <w:pPr>
        <w:numPr>
          <w:ilvl w:val="0"/>
          <w:numId w:val="1"/>
        </w:numPr>
      </w:pPr>
      <w:r w:rsidRPr="00C824BD">
        <w:t xml:space="preserve">A change from certified (i.e. UL listed) to non-certified devices </w:t>
      </w:r>
    </w:p>
    <w:p w:rsidR="00C824BD" w:rsidRPr="00C824BD" w:rsidRDefault="00C824BD" w:rsidP="00C824BD">
      <w:pPr>
        <w:numPr>
          <w:ilvl w:val="0"/>
          <w:numId w:val="1"/>
        </w:numPr>
      </w:pPr>
      <w:bookmarkStart w:id="0" w:name="_Hlk513557997"/>
      <w:r w:rsidRPr="00C824BD">
        <w:t>An increase in the AC output of the generating facility by more than 2%</w:t>
      </w:r>
    </w:p>
    <w:bookmarkEnd w:id="0"/>
    <w:p w:rsidR="00C824BD" w:rsidRPr="00C824BD" w:rsidRDefault="00C824BD" w:rsidP="00C824BD"/>
    <w:p w:rsidR="00C824BD" w:rsidRPr="00C824BD" w:rsidRDefault="00C824BD" w:rsidP="00C824BD">
      <w:r w:rsidRPr="00C824BD">
        <w:t xml:space="preserve">The following </w:t>
      </w:r>
      <w:r w:rsidRPr="00C824BD">
        <w:rPr>
          <w:u w:val="single"/>
        </w:rPr>
        <w:t>do not</w:t>
      </w:r>
      <w:r w:rsidRPr="00C824BD">
        <w:t xml:space="preserve"> entail Material Modifications:</w:t>
      </w:r>
    </w:p>
    <w:p w:rsidR="00C824BD" w:rsidRPr="00C824BD" w:rsidRDefault="00C824BD" w:rsidP="00C824BD">
      <w:pPr>
        <w:numPr>
          <w:ilvl w:val="0"/>
          <w:numId w:val="2"/>
        </w:numPr>
      </w:pPr>
      <w:r w:rsidRPr="00C824BD">
        <w:t>A change in ownership of a generating facility</w:t>
      </w:r>
    </w:p>
    <w:p w:rsidR="00C824BD" w:rsidRPr="00C824BD" w:rsidRDefault="00C824BD" w:rsidP="00C824BD">
      <w:pPr>
        <w:numPr>
          <w:ilvl w:val="0"/>
          <w:numId w:val="2"/>
        </w:numPr>
      </w:pPr>
      <w:r w:rsidRPr="00C824BD">
        <w:t>A change or replacement of generating equipment such as generator(s), inverter(s), solar panel(s), transformers, relaying, controls</w:t>
      </w:r>
      <w:r w:rsidR="00A053A0">
        <w:t>, axis-tracking or fixed-tilt hardware,</w:t>
      </w:r>
      <w:r w:rsidRPr="00C824BD">
        <w:t xml:space="preserve"> etc. that do not necessitate a change in transformer configuration on the primary side.</w:t>
      </w:r>
    </w:p>
    <w:p w:rsidR="00C824BD" w:rsidRPr="00C824BD" w:rsidRDefault="00C824BD" w:rsidP="00C824BD">
      <w:pPr>
        <w:numPr>
          <w:ilvl w:val="0"/>
          <w:numId w:val="2"/>
        </w:numPr>
      </w:pPr>
      <w:r w:rsidRPr="00C824BD">
        <w:t>An increase in the AC output of the generating facility by less than 2%</w:t>
      </w:r>
    </w:p>
    <w:p w:rsidR="00C824BD" w:rsidRDefault="00C824BD" w:rsidP="00C824BD">
      <w:pPr>
        <w:numPr>
          <w:ilvl w:val="0"/>
          <w:numId w:val="2"/>
        </w:numPr>
      </w:pPr>
      <w:r w:rsidRPr="00C824BD">
        <w:t>Any necessary or suggested change requested by a utility; i.e. to enhance project or grid operability or improve project economics.</w:t>
      </w:r>
    </w:p>
    <w:p w:rsidR="00AB73AC" w:rsidRPr="00AB73AC" w:rsidRDefault="00AB73AC" w:rsidP="00C824BD">
      <w:pPr>
        <w:numPr>
          <w:ilvl w:val="0"/>
          <w:numId w:val="2"/>
        </w:numPr>
      </w:pPr>
      <w:r w:rsidRPr="00AB73AC">
        <w:rPr>
          <w:color w:val="222222"/>
        </w:rPr>
        <w:t>Any change that does not require more than the aforementioned 60BD of restudy</w:t>
      </w:r>
    </w:p>
    <w:p w:rsidR="001F0871" w:rsidRDefault="001F0871"/>
    <w:sectPr w:rsidR="001F0871" w:rsidSect="001F08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66DB"/>
    <w:multiLevelType w:val="multilevel"/>
    <w:tmpl w:val="4C525A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14257C"/>
    <w:multiLevelType w:val="multilevel"/>
    <w:tmpl w:val="6F6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B47D3"/>
    <w:multiLevelType w:val="multilevel"/>
    <w:tmpl w:val="35DE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C686B"/>
    <w:multiLevelType w:val="hybridMultilevel"/>
    <w:tmpl w:val="2284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D"/>
    <w:rsid w:val="0010444D"/>
    <w:rsid w:val="001827B1"/>
    <w:rsid w:val="001A574D"/>
    <w:rsid w:val="001F0871"/>
    <w:rsid w:val="00207FF7"/>
    <w:rsid w:val="005567CD"/>
    <w:rsid w:val="00595E8E"/>
    <w:rsid w:val="00A053A0"/>
    <w:rsid w:val="00AB73AC"/>
    <w:rsid w:val="00C824BD"/>
    <w:rsid w:val="00F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10FEC"/>
  <w14:defaultImageDpi w14:val="300"/>
  <w15:docId w15:val="{EEF7510A-73ED-4B65-ABA4-E88779F8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1"/>
    <w:basedOn w:val="TableNormal"/>
    <w:uiPriority w:val="99"/>
    <w:rsid w:val="00595E8E"/>
    <w:rPr>
      <w:rFonts w:asciiTheme="majorHAnsi" w:hAnsiTheme="majorHAns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8FFFC"/>
      <w:vAlign w:val="center"/>
    </w:tcPr>
    <w:tblStylePr w:type="lastRow">
      <w:rPr>
        <w:rFonts w:asciiTheme="majorHAnsi" w:hAnsiTheme="majorHAnsi"/>
      </w:rPr>
    </w:tblStylePr>
  </w:style>
  <w:style w:type="table" w:customStyle="1" w:styleId="Teal1">
    <w:name w:val="Teal 1"/>
    <w:basedOn w:val="TableNormal"/>
    <w:uiPriority w:val="99"/>
    <w:rsid w:val="00595E8E"/>
    <w:rPr>
      <w:sz w:val="20"/>
      <w:szCs w:val="20"/>
      <w:lang w:eastAsia="ja-JP"/>
    </w:rPr>
    <w:tblPr/>
    <w:tblStylePr w:type="lastRow">
      <w:pPr>
        <w:jc w:val="left"/>
      </w:pPr>
      <w:rPr>
        <w:rFonts w:asciiTheme="majorHAnsi" w:hAnsiTheme="majorHAns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FC"/>
        <w:vAlign w:val="center"/>
      </w:tcPr>
    </w:tblStylePr>
  </w:style>
  <w:style w:type="table" w:customStyle="1" w:styleId="Table10">
    <w:name w:val="Table10"/>
    <w:basedOn w:val="TableNormal"/>
    <w:uiPriority w:val="99"/>
    <w:rsid w:val="00595E8E"/>
    <w:rPr>
      <w:sz w:val="20"/>
      <w:szCs w:val="20"/>
      <w:lang w:eastAsia="ja-JP"/>
    </w:rPr>
    <w:tblPr/>
    <w:tblStylePr w:type="lastRow">
      <w:pPr>
        <w:jc w:val="left"/>
      </w:pPr>
      <w:rPr>
        <w:rFonts w:asciiTheme="majorHAnsi" w:hAnsiTheme="majorHAnsi"/>
      </w:rPr>
      <w:tblPr/>
      <w:tcPr>
        <w:shd w:val="clear" w:color="auto" w:fill="E8FFFC"/>
        <w:vAlign w:val="center"/>
      </w:tcPr>
    </w:tblStylePr>
  </w:style>
  <w:style w:type="table" w:customStyle="1" w:styleId="Table20">
    <w:name w:val="Table20"/>
    <w:basedOn w:val="TableNormal"/>
    <w:uiPriority w:val="99"/>
    <w:rsid w:val="005567CD"/>
    <w:rPr>
      <w:sz w:val="20"/>
      <w:szCs w:val="20"/>
      <w:lang w:eastAsia="ja-JP"/>
    </w:rPr>
    <w:tblPr/>
    <w:tblStylePr w:type="lastRow">
      <w:pPr>
        <w:jc w:val="left"/>
      </w:pPr>
      <w:rPr>
        <w:rFonts w:asciiTheme="majorHAnsi" w:hAnsiTheme="majorHAnsi"/>
      </w:rPr>
      <w:tblPr/>
      <w:tcPr>
        <w:shd w:val="clear" w:color="auto" w:fill="E6FFF4"/>
        <w:vAlign w:val="center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24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4BD"/>
  </w:style>
  <w:style w:type="paragraph" w:styleId="BalloonText">
    <w:name w:val="Balloon Text"/>
    <w:basedOn w:val="Normal"/>
    <w:link w:val="BalloonTextChar"/>
    <w:uiPriority w:val="99"/>
    <w:semiHidden/>
    <w:unhideWhenUsed/>
    <w:rsid w:val="00C824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Keyes, Fox &amp; Wiedman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Passera</dc:creator>
  <cp:keywords/>
  <dc:description/>
  <cp:lastModifiedBy>Grisaru, Elizabeth (DPS)</cp:lastModifiedBy>
  <cp:revision>2</cp:revision>
  <dcterms:created xsi:type="dcterms:W3CDTF">2018-05-22T16:03:00Z</dcterms:created>
  <dcterms:modified xsi:type="dcterms:W3CDTF">2018-05-22T16:03:00Z</dcterms:modified>
</cp:coreProperties>
</file>