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20" w:rsidRDefault="00122120" w:rsidP="00122120">
      <w:pPr>
        <w:jc w:val="center"/>
        <w:rPr>
          <w:rFonts w:ascii="Verdana" w:eastAsia="Times New Roman" w:hAnsi="Verdana"/>
          <w:color w:val="000000"/>
        </w:rPr>
      </w:pPr>
      <w:r>
        <w:rPr>
          <w:rFonts w:ascii="Verdana" w:eastAsia="Times New Roman" w:hAnsi="Verdana"/>
          <w:color w:val="000000"/>
        </w:rPr>
        <w:t>Comments of Allen Harari</w:t>
      </w:r>
    </w:p>
    <w:p w:rsidR="00122120" w:rsidRDefault="00122120" w:rsidP="00122120">
      <w:pPr>
        <w:rPr>
          <w:rFonts w:ascii="Verdana" w:eastAsia="Times New Roman" w:hAnsi="Verdana"/>
          <w:color w:val="000000"/>
        </w:rPr>
      </w:pPr>
    </w:p>
    <w:p w:rsidR="00122120" w:rsidRDefault="00122120" w:rsidP="00122120">
      <w:pPr>
        <w:rPr>
          <w:rFonts w:ascii="Verdana" w:eastAsia="Times New Roman" w:hAnsi="Verdana"/>
          <w:color w:val="000000"/>
        </w:rPr>
      </w:pPr>
    </w:p>
    <w:p w:rsidR="00122120" w:rsidRDefault="00122120" w:rsidP="00122120">
      <w:pPr>
        <w:rPr>
          <w:rFonts w:ascii="Verdana" w:eastAsia="Times New Roman" w:hAnsi="Verdana"/>
          <w:color w:val="000000"/>
        </w:rPr>
      </w:pPr>
    </w:p>
    <w:p w:rsidR="00122120" w:rsidRDefault="00122120" w:rsidP="00122120">
      <w:pPr>
        <w:rPr>
          <w:rFonts w:eastAsia="Times New Roman"/>
        </w:rPr>
      </w:pPr>
      <w:r>
        <w:rPr>
          <w:rFonts w:ascii="Verdana" w:eastAsia="Times New Roman" w:hAnsi="Verdana"/>
          <w:color w:val="000000"/>
        </w:rPr>
        <w:t>Here are some thoughts about Aggregating Projects up to 5MW.</w:t>
      </w:r>
    </w:p>
    <w:p w:rsidR="00122120" w:rsidRDefault="00122120" w:rsidP="00122120">
      <w:pPr>
        <w:numPr>
          <w:ilvl w:val="0"/>
          <w:numId w:val="1"/>
        </w:numPr>
        <w:spacing w:before="100" w:beforeAutospacing="1" w:after="100" w:afterAutospacing="1"/>
        <w:rPr>
          <w:rFonts w:eastAsia="Times New Roman"/>
        </w:rPr>
      </w:pPr>
      <w:r>
        <w:rPr>
          <w:rFonts w:ascii="Verdana" w:eastAsia="Times New Roman" w:hAnsi="Verdana"/>
          <w:color w:val="000000"/>
        </w:rPr>
        <w:t>Aggregation should be based on the installation of a new meter on a project that has not become operational; whether that meter is installed on a new project or the combination of an existing project in development with a new project.</w:t>
      </w:r>
    </w:p>
    <w:p w:rsidR="00122120" w:rsidRDefault="00122120" w:rsidP="00122120">
      <w:pPr>
        <w:numPr>
          <w:ilvl w:val="0"/>
          <w:numId w:val="1"/>
        </w:numPr>
        <w:spacing w:before="100" w:beforeAutospacing="1" w:after="100" w:afterAutospacing="1"/>
        <w:rPr>
          <w:rFonts w:eastAsia="Times New Roman"/>
        </w:rPr>
      </w:pPr>
      <w:r>
        <w:rPr>
          <w:rFonts w:ascii="Verdana" w:eastAsia="Times New Roman" w:hAnsi="Verdana"/>
          <w:color w:val="000000"/>
        </w:rPr>
        <w:t>The entire generating array serving the new meter of an aggregated project must be located on contiguous parcel(s) of land.</w:t>
      </w:r>
    </w:p>
    <w:p w:rsidR="00122120" w:rsidRDefault="00122120" w:rsidP="00122120">
      <w:pPr>
        <w:numPr>
          <w:ilvl w:val="0"/>
          <w:numId w:val="1"/>
        </w:numPr>
        <w:spacing w:before="100" w:beforeAutospacing="1" w:after="100" w:afterAutospacing="1"/>
        <w:rPr>
          <w:rFonts w:eastAsia="Times New Roman"/>
        </w:rPr>
      </w:pPr>
      <w:r>
        <w:rPr>
          <w:rFonts w:ascii="Verdana" w:eastAsia="Times New Roman" w:hAnsi="Verdana"/>
          <w:color w:val="000000"/>
        </w:rPr>
        <w:t>Increasing the size of an IX submission on adjacent parcels serviced by a single meter should be considered a modification to original CESIR for the site.</w:t>
      </w:r>
    </w:p>
    <w:p w:rsidR="00122120" w:rsidRDefault="00122120" w:rsidP="00122120">
      <w:pPr>
        <w:numPr>
          <w:ilvl w:val="0"/>
          <w:numId w:val="1"/>
        </w:numPr>
        <w:spacing w:before="100" w:beforeAutospacing="1" w:after="100" w:afterAutospacing="1"/>
        <w:rPr>
          <w:rFonts w:eastAsia="Times New Roman"/>
        </w:rPr>
      </w:pPr>
      <w:r>
        <w:rPr>
          <w:rFonts w:ascii="Verdana" w:eastAsia="Times New Roman" w:hAnsi="Verdana"/>
          <w:color w:val="000000"/>
        </w:rPr>
        <w:t>A developer who has already paid for a CESIR for a project that has not yet interconnected and can be expanded and served by a single meter, should not be required to pay for an entirely new CESIR study but only an amendment to the developer's original CESIR study regardless of whether the developer has paid the 25% and/or 75% upgrade deposit.</w:t>
      </w:r>
    </w:p>
    <w:p w:rsidR="00122120" w:rsidRDefault="00122120" w:rsidP="00122120">
      <w:pPr>
        <w:numPr>
          <w:ilvl w:val="0"/>
          <w:numId w:val="1"/>
        </w:numPr>
        <w:spacing w:before="100" w:beforeAutospacing="1" w:after="100" w:afterAutospacing="1"/>
        <w:rPr>
          <w:rFonts w:eastAsia="Times New Roman"/>
        </w:rPr>
      </w:pPr>
      <w:r>
        <w:rPr>
          <w:rFonts w:ascii="Verdana" w:eastAsia="Times New Roman" w:hAnsi="Verdana"/>
          <w:color w:val="000000"/>
        </w:rPr>
        <w:t>A developer will not lose his queue position if he decides to expand his project, per the above, but will be subject to an accelerated development schedule applied to the new portion of his project.</w:t>
      </w:r>
    </w:p>
    <w:p w:rsidR="00122120" w:rsidRDefault="00122120" w:rsidP="00122120">
      <w:pPr>
        <w:numPr>
          <w:ilvl w:val="0"/>
          <w:numId w:val="1"/>
        </w:numPr>
        <w:spacing w:before="100" w:beforeAutospacing="1" w:after="100" w:afterAutospacing="1"/>
        <w:rPr>
          <w:rFonts w:eastAsia="Times New Roman"/>
        </w:rPr>
      </w:pPr>
      <w:r>
        <w:rPr>
          <w:rFonts w:ascii="Verdana" w:eastAsia="Times New Roman" w:hAnsi="Verdana"/>
          <w:color w:val="000000"/>
        </w:rPr>
        <w:t>***PERMITTING must be a part of any project to maintain a position in the queue. </w:t>
      </w:r>
      <w:r>
        <w:rPr>
          <w:rFonts w:eastAsia="Times New Roman"/>
        </w:rPr>
        <w:t xml:space="preserve"> </w:t>
      </w:r>
    </w:p>
    <w:p w:rsidR="00122120" w:rsidRDefault="00122120" w:rsidP="00122120">
      <w:pPr>
        <w:numPr>
          <w:ilvl w:val="1"/>
          <w:numId w:val="1"/>
        </w:numPr>
        <w:spacing w:before="100" w:beforeAutospacing="1" w:after="100" w:afterAutospacing="1"/>
        <w:rPr>
          <w:rFonts w:eastAsia="Times New Roman"/>
        </w:rPr>
      </w:pPr>
      <w:r>
        <w:rPr>
          <w:rFonts w:ascii="Verdana" w:eastAsia="Times New Roman" w:hAnsi="Verdana"/>
          <w:color w:val="000000"/>
        </w:rPr>
        <w:t>A developer in the permitting process with a smaller project meeting the aggregation criteria must demonstrate that the increased size of the project will meet the town's zoning code </w:t>
      </w:r>
    </w:p>
    <w:p w:rsidR="00122120" w:rsidRDefault="00122120" w:rsidP="00122120">
      <w:pPr>
        <w:numPr>
          <w:ilvl w:val="1"/>
          <w:numId w:val="1"/>
        </w:numPr>
        <w:spacing w:before="100" w:beforeAutospacing="1" w:after="100" w:afterAutospacing="1"/>
        <w:rPr>
          <w:rFonts w:eastAsia="Times New Roman"/>
        </w:rPr>
      </w:pPr>
      <w:r>
        <w:rPr>
          <w:rFonts w:ascii="Verdana" w:eastAsia="Times New Roman" w:hAnsi="Verdana"/>
          <w:color w:val="000000"/>
        </w:rPr>
        <w:t>A developer must demonstrate the projects' viability to be increased or aggregated to maintain the projects' position in the queue.</w:t>
      </w:r>
    </w:p>
    <w:p w:rsidR="00122120" w:rsidRDefault="00122120" w:rsidP="00122120">
      <w:pPr>
        <w:rPr>
          <w:rFonts w:eastAsia="Times New Roman"/>
        </w:rPr>
      </w:pPr>
    </w:p>
    <w:p w:rsidR="00122120" w:rsidRDefault="00122120" w:rsidP="00122120">
      <w:pPr>
        <w:rPr>
          <w:rFonts w:eastAsia="Times New Roman"/>
        </w:rPr>
      </w:pPr>
      <w:r>
        <w:rPr>
          <w:rFonts w:ascii="Verdana" w:eastAsia="Times New Roman" w:hAnsi="Verdana"/>
          <w:color w:val="000000"/>
        </w:rPr>
        <w:t>Operational Projects can be aggregated on the following basis</w:t>
      </w:r>
    </w:p>
    <w:p w:rsidR="00122120" w:rsidRDefault="00122120" w:rsidP="00122120">
      <w:pPr>
        <w:numPr>
          <w:ilvl w:val="0"/>
          <w:numId w:val="2"/>
        </w:numPr>
        <w:spacing w:before="100" w:beforeAutospacing="1" w:after="100" w:afterAutospacing="1"/>
        <w:rPr>
          <w:rFonts w:eastAsia="Times New Roman"/>
        </w:rPr>
      </w:pPr>
      <w:r>
        <w:rPr>
          <w:rFonts w:ascii="Verdana" w:eastAsia="Times New Roman" w:hAnsi="Verdana"/>
          <w:color w:val="000000"/>
        </w:rPr>
        <w:t>A single meter must be used to measure generated power on both the existing portion of the project and the new portion of the project.</w:t>
      </w:r>
    </w:p>
    <w:p w:rsidR="00122120" w:rsidRDefault="00122120" w:rsidP="00122120">
      <w:pPr>
        <w:numPr>
          <w:ilvl w:val="0"/>
          <w:numId w:val="2"/>
        </w:numPr>
        <w:spacing w:before="100" w:beforeAutospacing="1" w:after="100" w:afterAutospacing="1"/>
        <w:rPr>
          <w:rFonts w:eastAsia="Times New Roman"/>
        </w:rPr>
      </w:pPr>
      <w:r>
        <w:rPr>
          <w:rFonts w:ascii="Verdana" w:eastAsia="Times New Roman" w:hAnsi="Verdana"/>
          <w:color w:val="000000"/>
        </w:rPr>
        <w:t>Compensation and incentives in place at the time of interconnect of the aggregated project will apply to both the new and existing arrays.</w:t>
      </w:r>
    </w:p>
    <w:p w:rsidR="00122120" w:rsidRDefault="00122120" w:rsidP="00122120">
      <w:pPr>
        <w:numPr>
          <w:ilvl w:val="0"/>
          <w:numId w:val="2"/>
        </w:numPr>
        <w:spacing w:before="100" w:beforeAutospacing="1" w:after="100" w:afterAutospacing="1"/>
        <w:rPr>
          <w:rFonts w:eastAsia="Times New Roman"/>
        </w:rPr>
      </w:pPr>
      <w:r>
        <w:rPr>
          <w:rFonts w:ascii="Verdana" w:eastAsia="Times New Roman" w:hAnsi="Verdana"/>
          <w:color w:val="000000"/>
        </w:rPr>
        <w:t>Developer must demonstrate the viability of obtaining a local building/zoning permit.</w:t>
      </w:r>
    </w:p>
    <w:p w:rsidR="00122120" w:rsidRDefault="00122120" w:rsidP="00122120">
      <w:pPr>
        <w:rPr>
          <w:rFonts w:eastAsia="Times New Roman"/>
        </w:rPr>
      </w:pPr>
    </w:p>
    <w:p w:rsidR="00122120" w:rsidRDefault="00122120" w:rsidP="00122120">
      <w:pPr>
        <w:rPr>
          <w:rFonts w:eastAsia="Times New Roman"/>
        </w:rPr>
      </w:pPr>
      <w:r>
        <w:rPr>
          <w:rFonts w:ascii="Verdana" w:eastAsia="Times New Roman" w:hAnsi="Verdana"/>
          <w:color w:val="000000"/>
        </w:rPr>
        <w:lastRenderedPageBreak/>
        <w:t>Projects Which are Ineligible to be Aggregated</w:t>
      </w:r>
    </w:p>
    <w:p w:rsidR="00122120" w:rsidRDefault="00122120" w:rsidP="00122120">
      <w:pPr>
        <w:numPr>
          <w:ilvl w:val="0"/>
          <w:numId w:val="3"/>
        </w:numPr>
        <w:spacing w:before="100" w:beforeAutospacing="1" w:after="100" w:afterAutospacing="1"/>
        <w:rPr>
          <w:rFonts w:eastAsia="Times New Roman"/>
        </w:rPr>
      </w:pPr>
      <w:r>
        <w:rPr>
          <w:rFonts w:ascii="Verdana" w:eastAsia="Times New Roman" w:hAnsi="Verdana"/>
          <w:color w:val="000000"/>
        </w:rPr>
        <w:t>Projects which are not located on the same or adjacent parcels.</w:t>
      </w:r>
    </w:p>
    <w:p w:rsidR="00122120" w:rsidRDefault="00122120" w:rsidP="00122120">
      <w:pPr>
        <w:numPr>
          <w:ilvl w:val="0"/>
          <w:numId w:val="3"/>
        </w:numPr>
        <w:spacing w:before="100" w:beforeAutospacing="1" w:after="100" w:afterAutospacing="1"/>
        <w:rPr>
          <w:rFonts w:eastAsia="Times New Roman"/>
        </w:rPr>
      </w:pPr>
      <w:r>
        <w:rPr>
          <w:rFonts w:ascii="Verdana" w:eastAsia="Times New Roman" w:hAnsi="Verdana"/>
          <w:color w:val="000000"/>
        </w:rPr>
        <w:t>An existing project that will not agree to be serviced by the same meter as the aggregated project.</w:t>
      </w:r>
    </w:p>
    <w:p w:rsidR="00122120" w:rsidRDefault="00122120" w:rsidP="00122120">
      <w:pPr>
        <w:rPr>
          <w:rFonts w:eastAsia="Times New Roman"/>
        </w:rPr>
      </w:pPr>
    </w:p>
    <w:p w:rsidR="00122120" w:rsidRDefault="00122120" w:rsidP="00122120">
      <w:pPr>
        <w:rPr>
          <w:rFonts w:eastAsia="Times New Roman"/>
        </w:rPr>
      </w:pPr>
    </w:p>
    <w:p w:rsidR="00590044" w:rsidRPr="00B55EEE" w:rsidRDefault="00590044">
      <w:bookmarkStart w:id="0" w:name="_GoBack"/>
      <w:bookmarkEnd w:id="0"/>
    </w:p>
    <w:sectPr w:rsidR="00590044" w:rsidRPr="00B55E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A68" w:rsidRDefault="009C6A68" w:rsidP="00122120">
      <w:r>
        <w:separator/>
      </w:r>
    </w:p>
  </w:endnote>
  <w:endnote w:type="continuationSeparator" w:id="0">
    <w:p w:rsidR="009C6A68" w:rsidRDefault="009C6A68" w:rsidP="0012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468607"/>
      <w:docPartObj>
        <w:docPartGallery w:val="Page Numbers (Bottom of Page)"/>
        <w:docPartUnique/>
      </w:docPartObj>
    </w:sdtPr>
    <w:sdtEndPr>
      <w:rPr>
        <w:noProof/>
      </w:rPr>
    </w:sdtEndPr>
    <w:sdtContent>
      <w:p w:rsidR="00122120" w:rsidRDefault="001221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22120" w:rsidRDefault="00122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A68" w:rsidRDefault="009C6A68" w:rsidP="00122120">
      <w:r>
        <w:separator/>
      </w:r>
    </w:p>
  </w:footnote>
  <w:footnote w:type="continuationSeparator" w:id="0">
    <w:p w:rsidR="009C6A68" w:rsidRDefault="009C6A68" w:rsidP="00122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71BC2"/>
    <w:multiLevelType w:val="multilevel"/>
    <w:tmpl w:val="3E90A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269B4"/>
    <w:multiLevelType w:val="multilevel"/>
    <w:tmpl w:val="EC2C1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697A0C"/>
    <w:multiLevelType w:val="multilevel"/>
    <w:tmpl w:val="C5A02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20"/>
    <w:rsid w:val="00122120"/>
    <w:rsid w:val="00590044"/>
    <w:rsid w:val="009C6A68"/>
    <w:rsid w:val="00B5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66095-5DEC-4B65-A3EA-7EDC428C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120"/>
    <w:pPr>
      <w:tabs>
        <w:tab w:val="center" w:pos="4680"/>
        <w:tab w:val="right" w:pos="9360"/>
      </w:tabs>
    </w:pPr>
  </w:style>
  <w:style w:type="character" w:customStyle="1" w:styleId="HeaderChar">
    <w:name w:val="Header Char"/>
    <w:basedOn w:val="DefaultParagraphFont"/>
    <w:link w:val="Header"/>
    <w:uiPriority w:val="99"/>
    <w:rsid w:val="00122120"/>
    <w:rPr>
      <w:rFonts w:ascii="Times New Roman" w:hAnsi="Times New Roman" w:cs="Times New Roman"/>
      <w:sz w:val="24"/>
      <w:szCs w:val="24"/>
    </w:rPr>
  </w:style>
  <w:style w:type="paragraph" w:styleId="Footer">
    <w:name w:val="footer"/>
    <w:basedOn w:val="Normal"/>
    <w:link w:val="FooterChar"/>
    <w:uiPriority w:val="99"/>
    <w:unhideWhenUsed/>
    <w:rsid w:val="00122120"/>
    <w:pPr>
      <w:tabs>
        <w:tab w:val="center" w:pos="4680"/>
        <w:tab w:val="right" w:pos="9360"/>
      </w:tabs>
    </w:pPr>
  </w:style>
  <w:style w:type="character" w:customStyle="1" w:styleId="FooterChar">
    <w:name w:val="Footer Char"/>
    <w:basedOn w:val="DefaultParagraphFont"/>
    <w:link w:val="Footer"/>
    <w:uiPriority w:val="99"/>
    <w:rsid w:val="001221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NYSDPS</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Grisaru,EAG</dc:creator>
  <cp:keywords/>
  <dc:description/>
  <cp:lastModifiedBy>Elizabeth Grisaru,EAG</cp:lastModifiedBy>
  <cp:revision>1</cp:revision>
  <dcterms:created xsi:type="dcterms:W3CDTF">2017-11-13T19:28:00Z</dcterms:created>
  <dcterms:modified xsi:type="dcterms:W3CDTF">2017-11-13T19:32:00Z</dcterms:modified>
</cp:coreProperties>
</file>