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7C1" w:rsidRDefault="0031506B">
      <w:bookmarkStart w:id="0" w:name="_GoBack"/>
      <w:bookmarkEnd w:id="0"/>
      <w:r w:rsidRPr="0031506B">
        <w:rPr>
          <w:b/>
          <w:u w:val="single"/>
        </w:rPr>
        <w:t>ITWG 08/29/18</w:t>
      </w:r>
    </w:p>
    <w:p w:rsidR="002E0C80" w:rsidRDefault="00E857C1">
      <w:r>
        <w:t>SI = Solar Industry</w:t>
      </w:r>
      <w:r w:rsidR="00E7162A">
        <w:t xml:space="preserve"> (Bryce/Shay)</w:t>
      </w:r>
    </w:p>
    <w:p w:rsidR="00E857C1" w:rsidRPr="00E857C1" w:rsidRDefault="00E857C1">
      <w:r>
        <w:t>JU = Joint Utilities</w:t>
      </w:r>
      <w:r w:rsidR="00E7162A">
        <w:t xml:space="preserve"> (Heather)</w:t>
      </w:r>
    </w:p>
    <w:p w:rsidR="0031506B" w:rsidRDefault="003C18AB">
      <w:pPr>
        <w:rPr>
          <w:b/>
          <w:i/>
        </w:rPr>
      </w:pPr>
      <w:r>
        <w:rPr>
          <w:b/>
          <w:i/>
        </w:rPr>
        <w:t>Interconnection Guideline Matrix</w:t>
      </w:r>
    </w:p>
    <w:p w:rsidR="003C18AB" w:rsidRDefault="003C18AB">
      <w:r>
        <w:t>SI would like to clarify these topics in the matrix and prevent wasted applications from use of this information. SI argues knowing this information beforehand will help them to apply where there is good chance of avoiding costly upgrades.</w:t>
      </w:r>
    </w:p>
    <w:p w:rsidR="00755B2B" w:rsidRDefault="00755B2B">
      <w:r>
        <w:t xml:space="preserve">JU will need clarification on some of these issues. JU </w:t>
      </w:r>
      <w:r w:rsidR="009A651C">
        <w:t xml:space="preserve">does not want to </w:t>
      </w:r>
      <w:r>
        <w:t xml:space="preserve">be held to cost estimates on unique projects. Some utilities do not have much experience to these topics as they have not had to deal </w:t>
      </w:r>
      <w:r w:rsidR="00223934">
        <w:t>with these updates extensively.</w:t>
      </w:r>
    </w:p>
    <w:p w:rsidR="003C18AB" w:rsidRPr="003C18AB" w:rsidRDefault="003C18AB">
      <w:pPr>
        <w:rPr>
          <w:i/>
        </w:rPr>
      </w:pPr>
      <w:r w:rsidRPr="003C18AB">
        <w:rPr>
          <w:i/>
        </w:rPr>
        <w:t>Substation Transformer Back-feeding</w:t>
      </w:r>
    </w:p>
    <w:p w:rsidR="003C18AB" w:rsidRDefault="002E0C80" w:rsidP="003C18AB">
      <w:pPr>
        <w:pStyle w:val="ListParagraph"/>
        <w:numPr>
          <w:ilvl w:val="0"/>
          <w:numId w:val="1"/>
        </w:numPr>
      </w:pPr>
      <w:r>
        <w:t>Criteria for neutral over-voltage protection</w:t>
      </w:r>
    </w:p>
    <w:p w:rsidR="002E0C80" w:rsidRDefault="002E0C80" w:rsidP="002E0C80">
      <w:pPr>
        <w:pStyle w:val="ListParagraph"/>
        <w:numPr>
          <w:ilvl w:val="1"/>
          <w:numId w:val="1"/>
        </w:numPr>
      </w:pPr>
      <w:r>
        <w:t>SI wants definition neutral-voltage definition</w:t>
      </w:r>
    </w:p>
    <w:p w:rsidR="002E0C80" w:rsidRDefault="002E0C80" w:rsidP="006F20F0">
      <w:pPr>
        <w:pStyle w:val="ListParagraph"/>
        <w:numPr>
          <w:ilvl w:val="0"/>
          <w:numId w:val="1"/>
        </w:numPr>
      </w:pPr>
      <w:r>
        <w:t>Rest of the information can be provided by JU at high level</w:t>
      </w:r>
    </w:p>
    <w:p w:rsidR="003C18AB" w:rsidRDefault="003C18AB">
      <w:pPr>
        <w:rPr>
          <w:i/>
        </w:rPr>
      </w:pPr>
      <w:r w:rsidRPr="003C18AB">
        <w:rPr>
          <w:i/>
        </w:rPr>
        <w:t>Monitor and Control</w:t>
      </w:r>
    </w:p>
    <w:p w:rsidR="002E0C80" w:rsidRDefault="002E0C80" w:rsidP="002E0C80">
      <w:pPr>
        <w:pStyle w:val="ListParagraph"/>
        <w:numPr>
          <w:ilvl w:val="0"/>
          <w:numId w:val="1"/>
        </w:numPr>
      </w:pPr>
      <w:r>
        <w:t>JU states that there is a separate document that covers the issues and they would reference that document</w:t>
      </w:r>
    </w:p>
    <w:p w:rsidR="002E0C80" w:rsidRDefault="002E0C80" w:rsidP="002E0C80">
      <w:pPr>
        <w:pStyle w:val="ListParagraph"/>
        <w:numPr>
          <w:ilvl w:val="0"/>
          <w:numId w:val="1"/>
        </w:numPr>
      </w:pPr>
      <w:r>
        <w:t>Look at website on the DPS website, appendix missing? JU will look at whether to add the appendix in the M&amp;C document</w:t>
      </w:r>
    </w:p>
    <w:p w:rsidR="002E0C80" w:rsidRDefault="002E0C80" w:rsidP="002E0C80">
      <w:pPr>
        <w:pStyle w:val="ListParagraph"/>
        <w:numPr>
          <w:ilvl w:val="0"/>
          <w:numId w:val="1"/>
        </w:numPr>
      </w:pPr>
      <w:r>
        <w:t>Jason: Not enough information on cost and need time for projects to be implemented</w:t>
      </w:r>
    </w:p>
    <w:p w:rsidR="002E0C80" w:rsidRDefault="002E0C80" w:rsidP="002E0C80">
      <w:pPr>
        <w:pStyle w:val="ListParagraph"/>
        <w:numPr>
          <w:ilvl w:val="0"/>
          <w:numId w:val="1"/>
        </w:numPr>
      </w:pPr>
      <w:r>
        <w:t>JU would like to wait till the end of the year to gather enough cost information</w:t>
      </w:r>
    </w:p>
    <w:p w:rsidR="002E0C80" w:rsidRDefault="00E7162A" w:rsidP="002E0C80">
      <w:pPr>
        <w:pStyle w:val="ListParagraph"/>
        <w:numPr>
          <w:ilvl w:val="0"/>
          <w:numId w:val="1"/>
        </w:numPr>
      </w:pPr>
      <w:r>
        <w:t>NYSEG/RGE</w:t>
      </w:r>
      <w:r w:rsidR="00426786">
        <w:t xml:space="preserve"> (Mark)</w:t>
      </w:r>
      <w:r>
        <w:t xml:space="preserve"> has concerns that there may be more requirements may need to be implemented for ESS + Solar projects</w:t>
      </w:r>
    </w:p>
    <w:p w:rsidR="00024919" w:rsidRDefault="00426786" w:rsidP="00024919">
      <w:pPr>
        <w:pStyle w:val="ListParagraph"/>
        <w:numPr>
          <w:ilvl w:val="0"/>
          <w:numId w:val="1"/>
        </w:numPr>
      </w:pPr>
      <w:r>
        <w:t>Current M&amp;C document solar only (may need to add to title of the document on website)</w:t>
      </w:r>
    </w:p>
    <w:p w:rsidR="003C18AB" w:rsidRDefault="003C18AB">
      <w:pPr>
        <w:rPr>
          <w:i/>
        </w:rPr>
      </w:pPr>
      <w:r w:rsidRPr="003C18AB">
        <w:rPr>
          <w:i/>
        </w:rPr>
        <w:t>Anti-Islanding Mitigation</w:t>
      </w:r>
    </w:p>
    <w:p w:rsidR="00426786" w:rsidRDefault="00426786" w:rsidP="00426786">
      <w:pPr>
        <w:pStyle w:val="ListParagraph"/>
        <w:numPr>
          <w:ilvl w:val="0"/>
          <w:numId w:val="1"/>
        </w:numPr>
      </w:pPr>
      <w:r>
        <w:softHyphen/>
      </w:r>
      <w:r w:rsidR="00CD192B">
        <w:t>JU can provide most of the information requested</w:t>
      </w:r>
    </w:p>
    <w:p w:rsidR="00CD192B" w:rsidRDefault="00CD192B" w:rsidP="00426786">
      <w:pPr>
        <w:pStyle w:val="ListParagraph"/>
        <w:numPr>
          <w:ilvl w:val="0"/>
          <w:numId w:val="1"/>
        </w:numPr>
      </w:pPr>
      <w:r>
        <w:t>Did not get which topic JU had a concern with</w:t>
      </w:r>
    </w:p>
    <w:p w:rsidR="00CD192B" w:rsidRDefault="00CD192B" w:rsidP="00CD192B">
      <w:pPr>
        <w:rPr>
          <w:i/>
        </w:rPr>
      </w:pPr>
      <w:r>
        <w:rPr>
          <w:i/>
        </w:rPr>
        <w:t>Effective Grounding</w:t>
      </w:r>
    </w:p>
    <w:p w:rsidR="00CD192B" w:rsidRDefault="00CD192B" w:rsidP="00CD192B">
      <w:pPr>
        <w:pStyle w:val="ListParagraph"/>
        <w:numPr>
          <w:ilvl w:val="0"/>
          <w:numId w:val="1"/>
        </w:numPr>
      </w:pPr>
      <w:r w:rsidRPr="00CD192B">
        <w:t xml:space="preserve">Does your system typically require means of effective grounding </w:t>
      </w:r>
      <w:proofErr w:type="gramStart"/>
      <w:r w:rsidRPr="00CD192B">
        <w:t>in order to</w:t>
      </w:r>
      <w:proofErr w:type="gramEnd"/>
      <w:r w:rsidRPr="00CD192B">
        <w:t xml:space="preserve"> interconnect?</w:t>
      </w:r>
    </w:p>
    <w:p w:rsidR="00CD192B" w:rsidRDefault="00CD192B" w:rsidP="00CD192B">
      <w:pPr>
        <w:pStyle w:val="ListParagraph"/>
        <w:numPr>
          <w:ilvl w:val="1"/>
          <w:numId w:val="1"/>
        </w:numPr>
      </w:pPr>
      <w:r>
        <w:t>JU needs clarification on what information is being requested</w:t>
      </w:r>
      <w:r w:rsidR="006F20F0">
        <w:t xml:space="preserve"> with this question</w:t>
      </w:r>
    </w:p>
    <w:p w:rsidR="00776301" w:rsidRDefault="00776301" w:rsidP="00CD192B">
      <w:pPr>
        <w:pStyle w:val="ListParagraph"/>
        <w:numPr>
          <w:ilvl w:val="1"/>
          <w:numId w:val="1"/>
        </w:numPr>
      </w:pPr>
      <w:r>
        <w:t>SI will clarify question to be a bit more specific</w:t>
      </w:r>
      <w:r w:rsidR="006F20F0">
        <w:t xml:space="preserve"> (</w:t>
      </w:r>
      <w:r>
        <w:t>project/transformer configurations</w:t>
      </w:r>
      <w:r w:rsidR="006F20F0">
        <w:t>)</w:t>
      </w:r>
    </w:p>
    <w:p w:rsidR="00CD192B" w:rsidRDefault="00CD192B" w:rsidP="00CD192B">
      <w:pPr>
        <w:pStyle w:val="ListParagraph"/>
        <w:numPr>
          <w:ilvl w:val="0"/>
          <w:numId w:val="1"/>
        </w:numPr>
      </w:pPr>
      <w:r>
        <w:t>SI wants to clarify what system configuration will require effective grounding</w:t>
      </w:r>
    </w:p>
    <w:p w:rsidR="00CD192B" w:rsidRDefault="00CD192B" w:rsidP="00CD192B">
      <w:pPr>
        <w:pStyle w:val="ListParagraph"/>
        <w:numPr>
          <w:ilvl w:val="0"/>
          <w:numId w:val="1"/>
        </w:numPr>
      </w:pPr>
      <w:r>
        <w:t xml:space="preserve">JU: </w:t>
      </w:r>
    </w:p>
    <w:p w:rsidR="00CF29BA" w:rsidRDefault="00CF29BA" w:rsidP="00CD192B">
      <w:pPr>
        <w:pStyle w:val="ListParagraph"/>
        <w:numPr>
          <w:ilvl w:val="0"/>
          <w:numId w:val="1"/>
        </w:numPr>
      </w:pPr>
      <w:r>
        <w:t xml:space="preserve">Jason: Can the presentation </w:t>
      </w:r>
      <w:r w:rsidR="00734591">
        <w:t>from</w:t>
      </w:r>
      <w:r>
        <w:t xml:space="preserve"> May (check this) be us</w:t>
      </w:r>
      <w:r w:rsidR="00776301">
        <w:t>ed by the SI as a guideline</w:t>
      </w:r>
    </w:p>
    <w:p w:rsidR="00776301" w:rsidRDefault="00776301" w:rsidP="00776301">
      <w:pPr>
        <w:pStyle w:val="ListParagraph"/>
        <w:numPr>
          <w:ilvl w:val="0"/>
          <w:numId w:val="1"/>
        </w:numPr>
      </w:pPr>
      <w:r>
        <w:t xml:space="preserve">CHGE will look at anything over 50kW </w:t>
      </w:r>
    </w:p>
    <w:p w:rsidR="00776301" w:rsidRDefault="00776301" w:rsidP="00776301">
      <w:pPr>
        <w:pStyle w:val="ListParagraph"/>
        <w:numPr>
          <w:ilvl w:val="0"/>
          <w:numId w:val="1"/>
        </w:numPr>
      </w:pPr>
      <w:r>
        <w:t>National Grid already has a table with thresholds</w:t>
      </w:r>
    </w:p>
    <w:p w:rsidR="00A463D4" w:rsidRPr="004022EB" w:rsidRDefault="00A463D4" w:rsidP="00A463D4">
      <w:pPr>
        <w:rPr>
          <w:i/>
        </w:rPr>
      </w:pPr>
      <w:r w:rsidRPr="004022EB">
        <w:rPr>
          <w:i/>
        </w:rPr>
        <w:t>Follow up</w:t>
      </w:r>
    </w:p>
    <w:p w:rsidR="00A463D4" w:rsidRDefault="00A463D4" w:rsidP="00A463D4">
      <w:pPr>
        <w:pStyle w:val="ListParagraph"/>
        <w:numPr>
          <w:ilvl w:val="0"/>
          <w:numId w:val="1"/>
        </w:numPr>
      </w:pPr>
      <w:r>
        <w:lastRenderedPageBreak/>
        <w:t>September 14</w:t>
      </w:r>
      <w:r w:rsidRPr="00A463D4">
        <w:rPr>
          <w:vertAlign w:val="superscript"/>
        </w:rPr>
        <w:t>th</w:t>
      </w:r>
      <w:proofErr w:type="gramStart"/>
      <w:r>
        <w:t xml:space="preserve"> 2018</w:t>
      </w:r>
      <w:proofErr w:type="gramEnd"/>
      <w:r>
        <w:t xml:space="preserve"> for comments and actions items to be completed</w:t>
      </w:r>
    </w:p>
    <w:p w:rsidR="00A463D4" w:rsidRDefault="00A463D4" w:rsidP="00A463D4"/>
    <w:p w:rsidR="00A463D4" w:rsidRDefault="009F33BF" w:rsidP="00A463D4">
      <w:pPr>
        <w:rPr>
          <w:b/>
        </w:rPr>
      </w:pPr>
      <w:r w:rsidRPr="009F33BF">
        <w:rPr>
          <w:b/>
        </w:rPr>
        <w:t>IEEE C62.92.6-2017: IEEE Guide for Application of Neutral Grounding in Electrical Utility Systems</w:t>
      </w:r>
      <w:r>
        <w:rPr>
          <w:b/>
        </w:rPr>
        <w:t xml:space="preserve"> (Tom Short)</w:t>
      </w:r>
    </w:p>
    <w:p w:rsidR="00A463D4" w:rsidRDefault="009F33BF" w:rsidP="009F33BF">
      <w:pPr>
        <w:pStyle w:val="ListParagraph"/>
        <w:numPr>
          <w:ilvl w:val="0"/>
          <w:numId w:val="1"/>
        </w:numPr>
      </w:pPr>
      <w:r>
        <w:t>This is a guide and not a requirement</w:t>
      </w:r>
    </w:p>
    <w:p w:rsidR="00043DA2" w:rsidRDefault="009F33BF" w:rsidP="009F33BF">
      <w:pPr>
        <w:pStyle w:val="ListParagraph"/>
        <w:numPr>
          <w:ilvl w:val="0"/>
          <w:numId w:val="1"/>
        </w:numPr>
      </w:pPr>
      <w:r>
        <w:t xml:space="preserve">Scope: </w:t>
      </w:r>
      <w:r w:rsidR="00043DA2" w:rsidRPr="009F33BF">
        <w:t xml:space="preserve">“…provides definitions and considerations related to system grounding where the dominant sources of system energization are </w:t>
      </w:r>
      <w:r w:rsidR="00043DA2" w:rsidRPr="006B3478">
        <w:t>current-regulated</w:t>
      </w:r>
      <w:r w:rsidR="00043DA2" w:rsidRPr="009F33BF">
        <w:t xml:space="preserve"> or power-regulated power conversion devices.”</w:t>
      </w:r>
      <w:r>
        <w:t xml:space="preserve"> </w:t>
      </w:r>
    </w:p>
    <w:p w:rsidR="009F33BF" w:rsidRPr="009F33BF" w:rsidRDefault="009F33BF" w:rsidP="009F33BF">
      <w:pPr>
        <w:pStyle w:val="ListParagraph"/>
        <w:numPr>
          <w:ilvl w:val="0"/>
          <w:numId w:val="1"/>
        </w:numPr>
      </w:pPr>
      <w:r>
        <w:t>Inverters are current sources while rotating machines are voltage sources</w:t>
      </w:r>
    </w:p>
    <w:p w:rsidR="009F33BF" w:rsidRDefault="009F33BF" w:rsidP="009F33BF">
      <w:pPr>
        <w:pStyle w:val="ListParagraph"/>
        <w:numPr>
          <w:ilvl w:val="0"/>
          <w:numId w:val="1"/>
        </w:numPr>
      </w:pPr>
      <w:r>
        <w:t>Classical Ground Fault Analysis: Rotating machines will rise from 1pu to 1.73pu when a ground fault happens</w:t>
      </w:r>
    </w:p>
    <w:p w:rsidR="009F33BF" w:rsidRDefault="009F33BF" w:rsidP="009F33BF">
      <w:pPr>
        <w:pStyle w:val="ListParagraph"/>
        <w:numPr>
          <w:ilvl w:val="0"/>
          <w:numId w:val="1"/>
        </w:numPr>
      </w:pPr>
      <w:r>
        <w:t>Current sources (Inverters)</w:t>
      </w:r>
      <w:r w:rsidR="003D4E12">
        <w:t xml:space="preserve"> </w:t>
      </w:r>
    </w:p>
    <w:p w:rsidR="003D4E12" w:rsidRDefault="003D4E12" w:rsidP="009F33BF">
      <w:pPr>
        <w:pStyle w:val="ListParagraph"/>
        <w:numPr>
          <w:ilvl w:val="0"/>
          <w:numId w:val="1"/>
        </w:numPr>
      </w:pPr>
      <w:r>
        <w:t>Line to ground loads</w:t>
      </w:r>
    </w:p>
    <w:p w:rsidR="003D4E12" w:rsidRDefault="003D4E12" w:rsidP="003D4E12">
      <w:pPr>
        <w:pStyle w:val="ListParagraph"/>
        <w:numPr>
          <w:ilvl w:val="0"/>
          <w:numId w:val="1"/>
        </w:numPr>
      </w:pPr>
      <w:r>
        <w:t>Line to Line loads</w:t>
      </w:r>
    </w:p>
    <w:p w:rsidR="003D4E12" w:rsidRDefault="003D4E12" w:rsidP="003D4E12">
      <w:pPr>
        <w:pStyle w:val="ListParagraph"/>
        <w:numPr>
          <w:ilvl w:val="0"/>
          <w:numId w:val="1"/>
        </w:numPr>
      </w:pPr>
      <w:r>
        <w:t>Ground Fault Sequence Network</w:t>
      </w:r>
    </w:p>
    <w:p w:rsidR="003D4E12" w:rsidRDefault="003D4E12" w:rsidP="003D4E12">
      <w:pPr>
        <w:pStyle w:val="ListParagraph"/>
        <w:numPr>
          <w:ilvl w:val="1"/>
          <w:numId w:val="1"/>
        </w:numPr>
      </w:pPr>
      <w:r>
        <w:t>Positive Sequence</w:t>
      </w:r>
    </w:p>
    <w:p w:rsidR="003D4E12" w:rsidRDefault="003D4E12" w:rsidP="003D4E12">
      <w:pPr>
        <w:pStyle w:val="ListParagraph"/>
        <w:numPr>
          <w:ilvl w:val="1"/>
          <w:numId w:val="1"/>
        </w:numPr>
      </w:pPr>
      <w:r>
        <w:t>Negative Sequence</w:t>
      </w:r>
    </w:p>
    <w:p w:rsidR="003D4E12" w:rsidRDefault="003D4E12" w:rsidP="003D4E12">
      <w:pPr>
        <w:pStyle w:val="ListParagraph"/>
        <w:numPr>
          <w:ilvl w:val="1"/>
          <w:numId w:val="1"/>
        </w:numPr>
      </w:pPr>
      <w:r>
        <w:t>Zero Sequence</w:t>
      </w:r>
    </w:p>
    <w:p w:rsidR="003D4E12" w:rsidRDefault="003D4E12" w:rsidP="003D4E12">
      <w:pPr>
        <w:pStyle w:val="ListParagraph"/>
        <w:numPr>
          <w:ilvl w:val="0"/>
          <w:numId w:val="1"/>
        </w:numPr>
      </w:pPr>
      <w:r>
        <w:t>Percentage of Grounded-Wye Load</w:t>
      </w:r>
    </w:p>
    <w:p w:rsidR="003D4E12" w:rsidRDefault="003D4E12" w:rsidP="003D4E12">
      <w:pPr>
        <w:pStyle w:val="ListParagraph"/>
        <w:numPr>
          <w:ilvl w:val="1"/>
          <w:numId w:val="1"/>
        </w:numPr>
      </w:pPr>
      <w:r>
        <w:t>Effective grounded 1.38PU</w:t>
      </w:r>
    </w:p>
    <w:p w:rsidR="003D4E12" w:rsidRDefault="003D4E12" w:rsidP="003D4E12">
      <w:pPr>
        <w:pStyle w:val="ListParagraph"/>
        <w:numPr>
          <w:ilvl w:val="1"/>
          <w:numId w:val="1"/>
        </w:numPr>
      </w:pPr>
      <w:r>
        <w:t>PF leading vs lagging</w:t>
      </w:r>
    </w:p>
    <w:p w:rsidR="003D4E12" w:rsidRDefault="003D4E12" w:rsidP="003D4E12">
      <w:pPr>
        <w:pStyle w:val="ListParagraph"/>
        <w:numPr>
          <w:ilvl w:val="0"/>
          <w:numId w:val="1"/>
        </w:numPr>
      </w:pPr>
      <w:r>
        <w:t>Effectiveness of Supplemental Grounds</w:t>
      </w:r>
    </w:p>
    <w:p w:rsidR="003D4E12" w:rsidRDefault="003D4E12" w:rsidP="003D4E12">
      <w:pPr>
        <w:pStyle w:val="ListParagraph"/>
        <w:numPr>
          <w:ilvl w:val="1"/>
          <w:numId w:val="1"/>
        </w:numPr>
      </w:pPr>
      <w:r>
        <w:t>Ground source (grounding transformer) does not significantly reduce GFOV</w:t>
      </w:r>
    </w:p>
    <w:p w:rsidR="009161E1" w:rsidRDefault="0009673C" w:rsidP="009161E1">
      <w:pPr>
        <w:pStyle w:val="ListParagraph"/>
        <w:numPr>
          <w:ilvl w:val="1"/>
          <w:numId w:val="1"/>
        </w:numPr>
      </w:pPr>
      <w:r>
        <w:t xml:space="preserve">Not much difference between no GT </w:t>
      </w:r>
      <w:r w:rsidR="009161E1">
        <w:t>w/any PF and GT w/</w:t>
      </w:r>
      <w:r>
        <w:t xml:space="preserve"> 0.9 lagging</w:t>
      </w:r>
      <w:r w:rsidR="0064606B">
        <w:t xml:space="preserve"> PF</w:t>
      </w:r>
    </w:p>
    <w:p w:rsidR="00043DA2" w:rsidRDefault="00043DA2" w:rsidP="006B3478">
      <w:pPr>
        <w:pStyle w:val="ListParagraph"/>
        <w:numPr>
          <w:ilvl w:val="1"/>
          <w:numId w:val="1"/>
        </w:numPr>
      </w:pPr>
      <w:r w:rsidRPr="006B3478">
        <w:t xml:space="preserve">Provides no benefit for reducing </w:t>
      </w:r>
      <w:proofErr w:type="spellStart"/>
      <w:r w:rsidRPr="006B3478">
        <w:t>overvoltages</w:t>
      </w:r>
      <w:proofErr w:type="spellEnd"/>
      <w:r w:rsidRPr="006B3478">
        <w:t xml:space="preserve"> during ground faults unless the island is dominated by line-to-line load</w:t>
      </w:r>
    </w:p>
    <w:p w:rsidR="00B81484" w:rsidRDefault="00B81484" w:rsidP="00B81484">
      <w:pPr>
        <w:pStyle w:val="ListParagraph"/>
        <w:numPr>
          <w:ilvl w:val="0"/>
          <w:numId w:val="1"/>
        </w:numPr>
      </w:pPr>
      <w:r>
        <w:t>Drawbacks of Supplemental Ground Sources</w:t>
      </w:r>
    </w:p>
    <w:p w:rsidR="00B81484" w:rsidRDefault="00B81484" w:rsidP="00B81484">
      <w:pPr>
        <w:pStyle w:val="ListParagraph"/>
        <w:numPr>
          <w:ilvl w:val="1"/>
          <w:numId w:val="1"/>
        </w:numPr>
      </w:pPr>
      <w:r>
        <w:t>Desensitize utility ground fault detection</w:t>
      </w:r>
    </w:p>
    <w:p w:rsidR="00B81484" w:rsidRDefault="00B81484" w:rsidP="00B81484">
      <w:pPr>
        <w:pStyle w:val="ListParagraph"/>
        <w:numPr>
          <w:ilvl w:val="1"/>
          <w:numId w:val="1"/>
        </w:numPr>
      </w:pPr>
      <w:r>
        <w:t>Subject to overload due to system imbalance</w:t>
      </w:r>
    </w:p>
    <w:p w:rsidR="00B81484" w:rsidRDefault="00B81484" w:rsidP="00B81484">
      <w:pPr>
        <w:pStyle w:val="ListParagraph"/>
        <w:numPr>
          <w:ilvl w:val="1"/>
          <w:numId w:val="1"/>
        </w:numPr>
      </w:pPr>
      <w:r>
        <w:t>Maintain energization of opened phases</w:t>
      </w:r>
    </w:p>
    <w:p w:rsidR="00B81484" w:rsidRDefault="00B81484" w:rsidP="00B81484">
      <w:pPr>
        <w:pStyle w:val="ListParagraph"/>
        <w:numPr>
          <w:ilvl w:val="0"/>
          <w:numId w:val="1"/>
        </w:numPr>
      </w:pPr>
      <w:r>
        <w:t>Using guide for NYS Interconnection Practices</w:t>
      </w:r>
    </w:p>
    <w:p w:rsidR="00043DA2" w:rsidRPr="00B81484" w:rsidRDefault="00043DA2" w:rsidP="00B81484">
      <w:pPr>
        <w:pStyle w:val="ListParagraph"/>
        <w:numPr>
          <w:ilvl w:val="1"/>
          <w:numId w:val="1"/>
        </w:numPr>
      </w:pPr>
      <w:r w:rsidRPr="00B81484">
        <w:t>The IEEE guide identifies inverter grounding considerations however there is not a defined procedure</w:t>
      </w:r>
    </w:p>
    <w:p w:rsidR="00043DA2" w:rsidRPr="00B81484" w:rsidRDefault="00043DA2" w:rsidP="00B81484">
      <w:pPr>
        <w:pStyle w:val="ListParagraph"/>
        <w:numPr>
          <w:ilvl w:val="1"/>
          <w:numId w:val="1"/>
        </w:numPr>
      </w:pPr>
      <w:r w:rsidRPr="00B81484">
        <w:t>Develop method for applying to specific inverter connections and grounding at a POC</w:t>
      </w:r>
    </w:p>
    <w:p w:rsidR="00043DA2" w:rsidRPr="00B81484" w:rsidRDefault="00043DA2" w:rsidP="00B81484">
      <w:pPr>
        <w:pStyle w:val="ListParagraph"/>
        <w:numPr>
          <w:ilvl w:val="1"/>
          <w:numId w:val="1"/>
        </w:numPr>
      </w:pPr>
      <w:r w:rsidRPr="00B81484">
        <w:t>Consider software tools to support inverter grounding analysis</w:t>
      </w:r>
    </w:p>
    <w:p w:rsidR="00043DA2" w:rsidRDefault="00043DA2" w:rsidP="00B81484">
      <w:pPr>
        <w:pStyle w:val="ListParagraph"/>
        <w:numPr>
          <w:ilvl w:val="1"/>
          <w:numId w:val="1"/>
        </w:numPr>
      </w:pPr>
      <w:r w:rsidRPr="00B81484">
        <w:t>Define sizing method for grounding transformers and withstand criteria</w:t>
      </w:r>
    </w:p>
    <w:p w:rsidR="007A047F" w:rsidRDefault="007A047F" w:rsidP="007A047F">
      <w:pPr>
        <w:rPr>
          <w:b/>
        </w:rPr>
      </w:pPr>
      <w:r>
        <w:rPr>
          <w:b/>
        </w:rPr>
        <w:t>SIR Technical Screen D</w:t>
      </w:r>
    </w:p>
    <w:p w:rsidR="007A047F" w:rsidRDefault="007A047F" w:rsidP="007A047F">
      <w:pPr>
        <w:pStyle w:val="ListParagraph"/>
        <w:numPr>
          <w:ilvl w:val="0"/>
          <w:numId w:val="1"/>
        </w:numPr>
      </w:pPr>
      <w:r>
        <w:t>Background: 3-phase 4-wire primary distribution line configuration requirement, fail unless aggregate DER AC nameplate rating must be less than or equal to 10% of line-section peak load. This is causing some projects to fail.</w:t>
      </w:r>
    </w:p>
    <w:p w:rsidR="007A047F" w:rsidRDefault="00831C41" w:rsidP="007A047F">
      <w:pPr>
        <w:pStyle w:val="ListParagraph"/>
        <w:numPr>
          <w:ilvl w:val="0"/>
          <w:numId w:val="1"/>
        </w:numPr>
      </w:pPr>
      <w:r>
        <w:t>Current approach reasonable for the time being</w:t>
      </w:r>
    </w:p>
    <w:p w:rsidR="00632B47" w:rsidRDefault="00632B47" w:rsidP="00632B47">
      <w:pPr>
        <w:rPr>
          <w:b/>
        </w:rPr>
      </w:pPr>
      <w:r>
        <w:rPr>
          <w:b/>
        </w:rPr>
        <w:t>Energy Storage Roadmap</w:t>
      </w:r>
    </w:p>
    <w:p w:rsidR="00632B47" w:rsidRPr="007B6D7A" w:rsidRDefault="00AF662B" w:rsidP="00632B47">
      <w:pPr>
        <w:rPr>
          <w:i/>
        </w:rPr>
      </w:pPr>
      <w:r w:rsidRPr="007B6D7A">
        <w:rPr>
          <w:i/>
        </w:rPr>
        <w:t>SIR Templates</w:t>
      </w:r>
    </w:p>
    <w:p w:rsidR="00AF662B" w:rsidRDefault="00AF662B" w:rsidP="00AF662B">
      <w:pPr>
        <w:pStyle w:val="ListParagraph"/>
        <w:numPr>
          <w:ilvl w:val="0"/>
          <w:numId w:val="1"/>
        </w:numPr>
      </w:pPr>
      <w:r>
        <w:t>Development of SIR agreement template for ESS operating characteristics, Attachment 1 of Appendix A</w:t>
      </w:r>
    </w:p>
    <w:p w:rsidR="00AF662B" w:rsidRDefault="00AF662B" w:rsidP="00AF662B">
      <w:pPr>
        <w:pStyle w:val="ListParagraph"/>
        <w:numPr>
          <w:ilvl w:val="0"/>
          <w:numId w:val="1"/>
        </w:numPr>
      </w:pPr>
      <w:r>
        <w:t>Development of SIR agreement template for ESS application requirements, operating characteristics and market participation, Appendix K</w:t>
      </w:r>
    </w:p>
    <w:p w:rsidR="00AF662B" w:rsidRPr="007B6D7A" w:rsidRDefault="00AF662B" w:rsidP="00632B47">
      <w:pPr>
        <w:rPr>
          <w:i/>
        </w:rPr>
      </w:pPr>
      <w:r w:rsidRPr="007B6D7A">
        <w:rPr>
          <w:i/>
        </w:rPr>
        <w:t>Hosting Capacity</w:t>
      </w:r>
    </w:p>
    <w:p w:rsidR="00AF662B" w:rsidRDefault="00AF662B" w:rsidP="00AF662B">
      <w:pPr>
        <w:pStyle w:val="ListParagraph"/>
        <w:numPr>
          <w:ilvl w:val="0"/>
          <w:numId w:val="1"/>
        </w:numPr>
        <w:autoSpaceDE w:val="0"/>
        <w:autoSpaceDN w:val="0"/>
        <w:adjustRightInd w:val="0"/>
        <w:spacing w:after="0" w:line="240" w:lineRule="auto"/>
        <w:rPr>
          <w:rFonts w:ascii="Calibri" w:hAnsi="Calibri" w:cs="Calibri"/>
        </w:rPr>
      </w:pPr>
      <w:r w:rsidRPr="00AF662B">
        <w:rPr>
          <w:rFonts w:ascii="Calibri" w:hAnsi="Calibri" w:cs="Calibri"/>
        </w:rPr>
        <w:t>Coordination with stakeholders regarding the Hosting Capacity roadmap and use cases for energy storage</w:t>
      </w:r>
    </w:p>
    <w:p w:rsidR="00AF662B" w:rsidRPr="00AF662B" w:rsidRDefault="00AF662B" w:rsidP="00AF662B">
      <w:pPr>
        <w:pStyle w:val="ListParagraph"/>
        <w:autoSpaceDE w:val="0"/>
        <w:autoSpaceDN w:val="0"/>
        <w:adjustRightInd w:val="0"/>
        <w:spacing w:after="0" w:line="240" w:lineRule="auto"/>
        <w:rPr>
          <w:rFonts w:ascii="Calibri" w:hAnsi="Calibri" w:cs="Calibri"/>
        </w:rPr>
      </w:pPr>
    </w:p>
    <w:p w:rsidR="00AF662B" w:rsidRPr="007B6D7A" w:rsidRDefault="00AF662B" w:rsidP="00632B47">
      <w:pPr>
        <w:rPr>
          <w:i/>
        </w:rPr>
      </w:pPr>
      <w:r w:rsidRPr="007B6D7A">
        <w:rPr>
          <w:i/>
        </w:rPr>
        <w:t>Monitoring and Control Mechanism</w:t>
      </w:r>
    </w:p>
    <w:p w:rsidR="00AF662B" w:rsidRDefault="00AF662B" w:rsidP="00AF662B">
      <w:pPr>
        <w:pStyle w:val="ListParagraph"/>
        <w:numPr>
          <w:ilvl w:val="0"/>
          <w:numId w:val="1"/>
        </w:numPr>
        <w:autoSpaceDE w:val="0"/>
        <w:autoSpaceDN w:val="0"/>
        <w:adjustRightInd w:val="0"/>
        <w:spacing w:after="0" w:line="240" w:lineRule="auto"/>
        <w:rPr>
          <w:rFonts w:ascii="Calibri" w:hAnsi="Calibri" w:cs="Calibri"/>
        </w:rPr>
      </w:pPr>
      <w:r w:rsidRPr="00AF662B">
        <w:rPr>
          <w:rFonts w:ascii="Calibri" w:hAnsi="Calibri" w:cs="Calibri"/>
        </w:rPr>
        <w:t>Ability to ensure systems are operating as per the standardized interconnection agreement</w:t>
      </w:r>
      <w:r>
        <w:rPr>
          <w:rFonts w:ascii="Calibri" w:hAnsi="Calibri" w:cs="Calibri"/>
        </w:rPr>
        <w:t xml:space="preserve"> </w:t>
      </w:r>
      <w:r w:rsidRPr="00AF662B">
        <w:rPr>
          <w:rFonts w:ascii="Calibri" w:hAnsi="Calibri" w:cs="Calibri"/>
        </w:rPr>
        <w:t>(Attachment 1 of Appendix A of the SIR) and cannot be easily changed to a new operating</w:t>
      </w:r>
      <w:r>
        <w:rPr>
          <w:rFonts w:ascii="Calibri" w:hAnsi="Calibri" w:cs="Calibri"/>
        </w:rPr>
        <w:t xml:space="preserve"> </w:t>
      </w:r>
      <w:r w:rsidRPr="00AF662B">
        <w:rPr>
          <w:rFonts w:ascii="Calibri" w:hAnsi="Calibri" w:cs="Calibri"/>
        </w:rPr>
        <w:t>mode (i.e. standalone vs. parallel mode)</w:t>
      </w:r>
    </w:p>
    <w:p w:rsidR="00AF662B" w:rsidRPr="00AF662B" w:rsidRDefault="00AF662B" w:rsidP="00AF662B">
      <w:pPr>
        <w:pStyle w:val="ListParagraph"/>
        <w:autoSpaceDE w:val="0"/>
        <w:autoSpaceDN w:val="0"/>
        <w:adjustRightInd w:val="0"/>
        <w:spacing w:after="0" w:line="240" w:lineRule="auto"/>
        <w:rPr>
          <w:rFonts w:ascii="Calibri" w:hAnsi="Calibri" w:cs="Calibri"/>
        </w:rPr>
      </w:pPr>
    </w:p>
    <w:p w:rsidR="00AF662B" w:rsidRPr="007B6D7A" w:rsidRDefault="00AF662B" w:rsidP="00632B47">
      <w:pPr>
        <w:rPr>
          <w:i/>
        </w:rPr>
      </w:pPr>
      <w:r w:rsidRPr="007B6D7A">
        <w:rPr>
          <w:i/>
        </w:rPr>
        <w:t>Metering Requirements</w:t>
      </w:r>
    </w:p>
    <w:p w:rsidR="00AF662B" w:rsidRPr="00AF662B" w:rsidRDefault="00AF662B" w:rsidP="00AF662B">
      <w:pPr>
        <w:pStyle w:val="ListParagraph"/>
        <w:numPr>
          <w:ilvl w:val="0"/>
          <w:numId w:val="1"/>
        </w:numPr>
        <w:autoSpaceDE w:val="0"/>
        <w:autoSpaceDN w:val="0"/>
        <w:adjustRightInd w:val="0"/>
        <w:spacing w:after="0" w:line="240" w:lineRule="auto"/>
        <w:rPr>
          <w:rFonts w:ascii="Calibri" w:hAnsi="Calibri" w:cs="Calibri"/>
        </w:rPr>
      </w:pPr>
      <w:r w:rsidRPr="00AF662B">
        <w:rPr>
          <w:rFonts w:ascii="Calibri" w:hAnsi="Calibri" w:cs="Calibri"/>
        </w:rPr>
        <w:t>Ability to support required tariffs</w:t>
      </w:r>
    </w:p>
    <w:p w:rsidR="00AF662B" w:rsidRDefault="00AF662B" w:rsidP="00AF662B">
      <w:pPr>
        <w:pStyle w:val="ListParagraph"/>
        <w:numPr>
          <w:ilvl w:val="0"/>
          <w:numId w:val="1"/>
        </w:numPr>
      </w:pPr>
      <w:r>
        <w:rPr>
          <w:rFonts w:ascii="Calibri" w:hAnsi="Calibri" w:cs="Calibri"/>
        </w:rPr>
        <w:t>Development of requirements for installation</w:t>
      </w:r>
    </w:p>
    <w:p w:rsidR="00AF662B" w:rsidRPr="007B6D7A" w:rsidRDefault="00AF662B" w:rsidP="00632B47">
      <w:pPr>
        <w:rPr>
          <w:i/>
        </w:rPr>
      </w:pPr>
      <w:r w:rsidRPr="007B6D7A">
        <w:rPr>
          <w:i/>
        </w:rPr>
        <w:t>Market Considerations</w:t>
      </w:r>
    </w:p>
    <w:p w:rsidR="00AF662B" w:rsidRPr="00AF662B" w:rsidRDefault="00AF662B" w:rsidP="00AF662B">
      <w:pPr>
        <w:pStyle w:val="ListParagraph"/>
        <w:numPr>
          <w:ilvl w:val="0"/>
          <w:numId w:val="1"/>
        </w:numPr>
        <w:autoSpaceDE w:val="0"/>
        <w:autoSpaceDN w:val="0"/>
        <w:adjustRightInd w:val="0"/>
        <w:spacing w:after="0" w:line="240" w:lineRule="auto"/>
        <w:rPr>
          <w:rFonts w:ascii="Calibri" w:hAnsi="Calibri" w:cs="Calibri"/>
        </w:rPr>
      </w:pPr>
      <w:r w:rsidRPr="00AF662B">
        <w:rPr>
          <w:rFonts w:ascii="Calibri" w:hAnsi="Calibri" w:cs="Calibri"/>
        </w:rPr>
        <w:t>Understanding of capabilities and requirements such a</w:t>
      </w:r>
      <w:r>
        <w:rPr>
          <w:rFonts w:ascii="Calibri" w:hAnsi="Calibri" w:cs="Calibri"/>
        </w:rPr>
        <w:t xml:space="preserve">s frequency regulation markets </w:t>
      </w:r>
      <w:r w:rsidRPr="00AF662B">
        <w:rPr>
          <w:rFonts w:ascii="Calibri" w:hAnsi="Calibri" w:cs="Calibri"/>
        </w:rPr>
        <w:t>maximum and frequency of power output changes</w:t>
      </w:r>
    </w:p>
    <w:p w:rsidR="00AF662B" w:rsidRPr="00AF662B" w:rsidRDefault="00AF662B" w:rsidP="00AF662B">
      <w:pPr>
        <w:pStyle w:val="ListParagraph"/>
        <w:numPr>
          <w:ilvl w:val="0"/>
          <w:numId w:val="1"/>
        </w:numPr>
        <w:autoSpaceDE w:val="0"/>
        <w:autoSpaceDN w:val="0"/>
        <w:adjustRightInd w:val="0"/>
        <w:spacing w:after="0" w:line="240" w:lineRule="auto"/>
        <w:rPr>
          <w:rFonts w:ascii="Calibri" w:hAnsi="Calibri" w:cs="Calibri"/>
        </w:rPr>
      </w:pPr>
      <w:r w:rsidRPr="00AF662B">
        <w:rPr>
          <w:rFonts w:ascii="Calibri" w:hAnsi="Calibri" w:cs="Calibri"/>
        </w:rPr>
        <w:t>Insight into ramp rate requirements</w:t>
      </w:r>
    </w:p>
    <w:p w:rsidR="00AF662B" w:rsidRDefault="00AF662B" w:rsidP="00AF662B">
      <w:pPr>
        <w:pStyle w:val="ListParagraph"/>
        <w:numPr>
          <w:ilvl w:val="0"/>
          <w:numId w:val="1"/>
        </w:numPr>
      </w:pPr>
      <w:r>
        <w:rPr>
          <w:rFonts w:ascii="Calibri" w:hAnsi="Calibri" w:cs="Calibri"/>
        </w:rPr>
        <w:t>Determination of how to balance economic and reliability needs between NYISO and TOs</w:t>
      </w:r>
    </w:p>
    <w:p w:rsidR="007B6D7A" w:rsidRDefault="00AF662B" w:rsidP="007B6D7A">
      <w:pPr>
        <w:rPr>
          <w:i/>
        </w:rPr>
      </w:pPr>
      <w:r w:rsidRPr="007B6D7A">
        <w:rPr>
          <w:i/>
        </w:rPr>
        <w:t>Technology</w:t>
      </w:r>
    </w:p>
    <w:p w:rsidR="00AF662B" w:rsidRPr="007B6D7A" w:rsidRDefault="00AF662B" w:rsidP="007B6D7A">
      <w:pPr>
        <w:pStyle w:val="ListParagraph"/>
        <w:numPr>
          <w:ilvl w:val="0"/>
          <w:numId w:val="1"/>
        </w:numPr>
        <w:rPr>
          <w:rFonts w:ascii="Calibri" w:hAnsi="Calibri" w:cs="Calibri"/>
        </w:rPr>
      </w:pPr>
      <w:r w:rsidRPr="007B6D7A">
        <w:rPr>
          <w:rFonts w:ascii="Calibri" w:hAnsi="Calibri" w:cs="Calibri"/>
        </w:rPr>
        <w:t>Relay and control scheme requirements</w:t>
      </w:r>
    </w:p>
    <w:p w:rsidR="00AF662B" w:rsidRPr="00AF662B" w:rsidRDefault="00AF662B" w:rsidP="00AF662B">
      <w:pPr>
        <w:pStyle w:val="ListParagraph"/>
        <w:numPr>
          <w:ilvl w:val="1"/>
          <w:numId w:val="1"/>
        </w:numPr>
        <w:autoSpaceDE w:val="0"/>
        <w:autoSpaceDN w:val="0"/>
        <w:adjustRightInd w:val="0"/>
        <w:spacing w:after="0" w:line="240" w:lineRule="auto"/>
        <w:rPr>
          <w:rFonts w:ascii="Calibri" w:hAnsi="Calibri" w:cs="Calibri"/>
        </w:rPr>
      </w:pPr>
      <w:r w:rsidRPr="00AF662B">
        <w:rPr>
          <w:rFonts w:ascii="Calibri" w:hAnsi="Calibri" w:cs="Calibri"/>
        </w:rPr>
        <w:t>Formation of requirements of primary and backup control systems</w:t>
      </w:r>
    </w:p>
    <w:p w:rsidR="00AF662B" w:rsidRDefault="00AF662B" w:rsidP="00AF662B">
      <w:pPr>
        <w:pStyle w:val="ListParagraph"/>
        <w:numPr>
          <w:ilvl w:val="1"/>
          <w:numId w:val="1"/>
        </w:numPr>
        <w:autoSpaceDE w:val="0"/>
        <w:autoSpaceDN w:val="0"/>
        <w:adjustRightInd w:val="0"/>
        <w:spacing w:after="0" w:line="240" w:lineRule="auto"/>
        <w:rPr>
          <w:rFonts w:ascii="Calibri" w:hAnsi="Calibri" w:cs="Calibri"/>
        </w:rPr>
      </w:pPr>
      <w:r w:rsidRPr="00AF662B">
        <w:rPr>
          <w:rFonts w:ascii="Calibri" w:hAnsi="Calibri" w:cs="Calibri"/>
        </w:rPr>
        <w:t>Developer education of technology available to meet utility needs for control</w:t>
      </w:r>
      <w:r>
        <w:rPr>
          <w:rFonts w:ascii="Calibri" w:hAnsi="Calibri" w:cs="Calibri"/>
        </w:rPr>
        <w:t xml:space="preserve"> </w:t>
      </w:r>
      <w:r w:rsidRPr="00AF662B">
        <w:rPr>
          <w:rFonts w:ascii="Calibri" w:hAnsi="Calibri" w:cs="Calibri"/>
        </w:rPr>
        <w:t>mechanisms and primary/backup systems</w:t>
      </w:r>
    </w:p>
    <w:p w:rsidR="00953429" w:rsidRPr="00E550E1" w:rsidRDefault="00953429" w:rsidP="00E550E1">
      <w:pPr>
        <w:pStyle w:val="ListParagraph"/>
        <w:numPr>
          <w:ilvl w:val="0"/>
          <w:numId w:val="1"/>
        </w:numPr>
        <w:autoSpaceDE w:val="0"/>
        <w:autoSpaceDN w:val="0"/>
        <w:adjustRightInd w:val="0"/>
        <w:spacing w:after="0" w:line="240" w:lineRule="auto"/>
        <w:rPr>
          <w:rFonts w:ascii="Calibri" w:hAnsi="Calibri" w:cs="Calibri"/>
        </w:rPr>
      </w:pPr>
      <w:r w:rsidRPr="00953429">
        <w:rPr>
          <w:rFonts w:ascii="Calibri" w:hAnsi="Calibri" w:cs="Calibri"/>
        </w:rPr>
        <w:t>Improved understanding of how technologies operate based on manufacturer propriety</w:t>
      </w:r>
      <w:r w:rsidR="00E550E1">
        <w:rPr>
          <w:rFonts w:ascii="Calibri" w:hAnsi="Calibri" w:cs="Calibri"/>
        </w:rPr>
        <w:t xml:space="preserve"> </w:t>
      </w:r>
      <w:r w:rsidRPr="00E550E1">
        <w:rPr>
          <w:rFonts w:ascii="Calibri" w:hAnsi="Calibri" w:cs="Calibri"/>
        </w:rPr>
        <w:t>information</w:t>
      </w:r>
    </w:p>
    <w:p w:rsidR="00953429" w:rsidRPr="00953429" w:rsidRDefault="00953429" w:rsidP="00E550E1">
      <w:pPr>
        <w:pStyle w:val="ListParagraph"/>
        <w:numPr>
          <w:ilvl w:val="0"/>
          <w:numId w:val="1"/>
        </w:numPr>
        <w:autoSpaceDE w:val="0"/>
        <w:autoSpaceDN w:val="0"/>
        <w:adjustRightInd w:val="0"/>
        <w:spacing w:after="0" w:line="240" w:lineRule="auto"/>
        <w:rPr>
          <w:rFonts w:ascii="Calibri" w:hAnsi="Calibri" w:cs="Calibri"/>
        </w:rPr>
      </w:pPr>
      <w:r w:rsidRPr="00953429">
        <w:rPr>
          <w:rFonts w:ascii="Calibri" w:hAnsi="Calibri" w:cs="Calibri"/>
        </w:rPr>
        <w:t>Voltage control via smart inverters</w:t>
      </w:r>
    </w:p>
    <w:p w:rsidR="00953429" w:rsidRDefault="00E550E1" w:rsidP="00E550E1">
      <w:pPr>
        <w:pStyle w:val="ListParagraph"/>
        <w:numPr>
          <w:ilvl w:val="1"/>
          <w:numId w:val="1"/>
        </w:numPr>
        <w:autoSpaceDE w:val="0"/>
        <w:autoSpaceDN w:val="0"/>
        <w:adjustRightInd w:val="0"/>
        <w:spacing w:after="0" w:line="240" w:lineRule="auto"/>
        <w:rPr>
          <w:rFonts w:ascii="Calibri" w:hAnsi="Calibri" w:cs="Calibri"/>
        </w:rPr>
      </w:pPr>
      <w:r w:rsidRPr="00E550E1">
        <w:rPr>
          <w:rFonts w:ascii="Calibri" w:hAnsi="Calibri" w:cs="Calibri"/>
        </w:rPr>
        <w:t>i.e. monitoring and control to maintain voltage at the service point within ANSI</w:t>
      </w:r>
      <w:r>
        <w:rPr>
          <w:rFonts w:ascii="Calibri" w:hAnsi="Calibri" w:cs="Calibri"/>
        </w:rPr>
        <w:t xml:space="preserve"> </w:t>
      </w:r>
      <w:r w:rsidRPr="00E550E1">
        <w:rPr>
          <w:rFonts w:ascii="Calibri" w:hAnsi="Calibri" w:cs="Calibri"/>
        </w:rPr>
        <w:t>C84.1 limitations</w:t>
      </w:r>
    </w:p>
    <w:p w:rsidR="00E81739" w:rsidRPr="007B6D7A" w:rsidRDefault="00E81739" w:rsidP="00E81739">
      <w:pPr>
        <w:autoSpaceDE w:val="0"/>
        <w:autoSpaceDN w:val="0"/>
        <w:adjustRightInd w:val="0"/>
        <w:spacing w:after="0" w:line="240" w:lineRule="auto"/>
        <w:rPr>
          <w:rFonts w:ascii="Calibri-Bold" w:hAnsi="Calibri-Bold" w:cs="Calibri-Bold"/>
          <w:bCs/>
          <w:i/>
        </w:rPr>
      </w:pPr>
      <w:r w:rsidRPr="007B6D7A">
        <w:rPr>
          <w:rFonts w:ascii="Calibri-Bold" w:hAnsi="Calibri-Bold" w:cs="Calibri-Bold"/>
          <w:bCs/>
          <w:i/>
        </w:rPr>
        <w:t>Data Availability</w:t>
      </w:r>
    </w:p>
    <w:p w:rsidR="00E81739" w:rsidRPr="00E81739" w:rsidRDefault="00E81739" w:rsidP="00E81739">
      <w:pPr>
        <w:pStyle w:val="ListParagraph"/>
        <w:numPr>
          <w:ilvl w:val="0"/>
          <w:numId w:val="1"/>
        </w:numPr>
        <w:autoSpaceDE w:val="0"/>
        <w:autoSpaceDN w:val="0"/>
        <w:adjustRightInd w:val="0"/>
        <w:spacing w:after="0" w:line="240" w:lineRule="auto"/>
        <w:rPr>
          <w:rFonts w:ascii="Calibri" w:hAnsi="Calibri" w:cs="Calibri"/>
        </w:rPr>
      </w:pPr>
      <w:r w:rsidRPr="00E81739">
        <w:rPr>
          <w:rFonts w:ascii="Calibri" w:hAnsi="Calibri" w:cs="Calibri"/>
        </w:rPr>
        <w:t xml:space="preserve">How to manage 8760 </w:t>
      </w:r>
      <w:proofErr w:type="gramStart"/>
      <w:r w:rsidRPr="00E81739">
        <w:rPr>
          <w:rFonts w:ascii="Calibri" w:hAnsi="Calibri" w:cs="Calibri"/>
        </w:rPr>
        <w:t>analysis</w:t>
      </w:r>
      <w:proofErr w:type="gramEnd"/>
    </w:p>
    <w:p w:rsidR="00E81739" w:rsidRPr="00E81739" w:rsidRDefault="00E81739" w:rsidP="00E81739">
      <w:pPr>
        <w:pStyle w:val="ListParagraph"/>
        <w:numPr>
          <w:ilvl w:val="0"/>
          <w:numId w:val="1"/>
        </w:numPr>
        <w:autoSpaceDE w:val="0"/>
        <w:autoSpaceDN w:val="0"/>
        <w:adjustRightInd w:val="0"/>
        <w:spacing w:after="0" w:line="240" w:lineRule="auto"/>
        <w:rPr>
          <w:rFonts w:ascii="Calibri" w:hAnsi="Calibri" w:cs="Calibri"/>
        </w:rPr>
      </w:pPr>
      <w:r w:rsidRPr="00E81739">
        <w:rPr>
          <w:rFonts w:ascii="Calibri" w:hAnsi="Calibri" w:cs="Calibri"/>
        </w:rPr>
        <w:t xml:space="preserve">How to coordinate with interconnected storage already served by a </w:t>
      </w:r>
      <w:proofErr w:type="gramStart"/>
      <w:r w:rsidRPr="00E81739">
        <w:rPr>
          <w:rFonts w:ascii="Calibri" w:hAnsi="Calibri" w:cs="Calibri"/>
        </w:rPr>
        <w:t>particular</w:t>
      </w:r>
      <w:r>
        <w:rPr>
          <w:rFonts w:ascii="Calibri" w:hAnsi="Calibri" w:cs="Calibri"/>
        </w:rPr>
        <w:t xml:space="preserve"> f</w:t>
      </w:r>
      <w:r w:rsidRPr="00E81739">
        <w:rPr>
          <w:rFonts w:ascii="Calibri" w:hAnsi="Calibri" w:cs="Calibri"/>
        </w:rPr>
        <w:t>eeder/substation</w:t>
      </w:r>
      <w:proofErr w:type="gramEnd"/>
      <w:r w:rsidRPr="00E81739">
        <w:rPr>
          <w:rFonts w:ascii="Calibri" w:hAnsi="Calibri" w:cs="Calibri"/>
        </w:rPr>
        <w:t xml:space="preserve"> given unique operating characteristics of each facility</w:t>
      </w:r>
    </w:p>
    <w:p w:rsidR="00E81739" w:rsidRPr="007B6D7A" w:rsidRDefault="00E81739" w:rsidP="00E81739">
      <w:pPr>
        <w:autoSpaceDE w:val="0"/>
        <w:autoSpaceDN w:val="0"/>
        <w:adjustRightInd w:val="0"/>
        <w:spacing w:after="0" w:line="240" w:lineRule="auto"/>
        <w:rPr>
          <w:rFonts w:ascii="Calibri-Bold" w:hAnsi="Calibri-Bold" w:cs="Calibri-Bold"/>
          <w:bCs/>
          <w:i/>
        </w:rPr>
      </w:pPr>
      <w:r w:rsidRPr="007B6D7A">
        <w:rPr>
          <w:rFonts w:ascii="Calibri-Bold" w:hAnsi="Calibri-Bold" w:cs="Calibri-Bold"/>
          <w:bCs/>
          <w:i/>
        </w:rPr>
        <w:t>Technical Review</w:t>
      </w:r>
    </w:p>
    <w:p w:rsidR="00E81739" w:rsidRPr="00E81739" w:rsidRDefault="00E81739" w:rsidP="00E81739">
      <w:pPr>
        <w:pStyle w:val="ListParagraph"/>
        <w:numPr>
          <w:ilvl w:val="0"/>
          <w:numId w:val="1"/>
        </w:numPr>
        <w:autoSpaceDE w:val="0"/>
        <w:autoSpaceDN w:val="0"/>
        <w:adjustRightInd w:val="0"/>
        <w:spacing w:after="0" w:line="240" w:lineRule="auto"/>
        <w:rPr>
          <w:rFonts w:ascii="Calibri" w:hAnsi="Calibri" w:cs="Calibri"/>
        </w:rPr>
      </w:pPr>
      <w:r w:rsidRPr="00E81739">
        <w:rPr>
          <w:rFonts w:ascii="Calibri" w:hAnsi="Calibri" w:cs="Calibri"/>
        </w:rPr>
        <w:t>Modeling challenges/limitations to be considered</w:t>
      </w:r>
    </w:p>
    <w:p w:rsidR="00E81739" w:rsidRPr="00E81739" w:rsidRDefault="00E81739" w:rsidP="00E81739">
      <w:pPr>
        <w:pStyle w:val="ListParagraph"/>
        <w:numPr>
          <w:ilvl w:val="1"/>
          <w:numId w:val="1"/>
        </w:numPr>
        <w:autoSpaceDE w:val="0"/>
        <w:autoSpaceDN w:val="0"/>
        <w:adjustRightInd w:val="0"/>
        <w:spacing w:after="0" w:line="240" w:lineRule="auto"/>
        <w:rPr>
          <w:rFonts w:ascii="Calibri" w:hAnsi="Calibri" w:cs="Calibri"/>
        </w:rPr>
      </w:pPr>
      <w:r w:rsidRPr="00E81739">
        <w:rPr>
          <w:rFonts w:ascii="Calibri" w:hAnsi="Calibri" w:cs="Calibri"/>
        </w:rPr>
        <w:t>Increase in the number of scenarios studied as operating characteristics proposed</w:t>
      </w:r>
      <w:r>
        <w:rPr>
          <w:rFonts w:ascii="Calibri" w:hAnsi="Calibri" w:cs="Calibri"/>
        </w:rPr>
        <w:t xml:space="preserve"> </w:t>
      </w:r>
      <w:r w:rsidRPr="00E81739">
        <w:rPr>
          <w:rFonts w:ascii="Calibri" w:hAnsi="Calibri" w:cs="Calibri"/>
        </w:rPr>
        <w:t>evolve during discussion</w:t>
      </w:r>
    </w:p>
    <w:p w:rsidR="00E81739" w:rsidRPr="00E81739" w:rsidRDefault="00E81739" w:rsidP="00E81739">
      <w:pPr>
        <w:pStyle w:val="ListParagraph"/>
        <w:numPr>
          <w:ilvl w:val="1"/>
          <w:numId w:val="1"/>
        </w:numPr>
        <w:autoSpaceDE w:val="0"/>
        <w:autoSpaceDN w:val="0"/>
        <w:adjustRightInd w:val="0"/>
        <w:spacing w:after="0" w:line="240" w:lineRule="auto"/>
        <w:rPr>
          <w:rFonts w:ascii="Calibri" w:hAnsi="Calibri" w:cs="Calibri"/>
        </w:rPr>
      </w:pPr>
      <w:r w:rsidRPr="00E81739">
        <w:rPr>
          <w:rFonts w:ascii="Calibri" w:hAnsi="Calibri" w:cs="Calibri"/>
        </w:rPr>
        <w:t>Expected increase in time and need for restudies when developers submit</w:t>
      </w:r>
      <w:r>
        <w:rPr>
          <w:rFonts w:ascii="Calibri" w:hAnsi="Calibri" w:cs="Calibri"/>
        </w:rPr>
        <w:t xml:space="preserve"> </w:t>
      </w:r>
      <w:r w:rsidRPr="00E81739">
        <w:rPr>
          <w:rFonts w:ascii="Calibri" w:hAnsi="Calibri" w:cs="Calibri"/>
        </w:rPr>
        <w:t>application with uncertainty regarding operating schedules</w:t>
      </w:r>
    </w:p>
    <w:p w:rsidR="00E81739" w:rsidRPr="00E81739" w:rsidRDefault="00E81739" w:rsidP="00E81739">
      <w:pPr>
        <w:pStyle w:val="ListParagraph"/>
        <w:numPr>
          <w:ilvl w:val="0"/>
          <w:numId w:val="1"/>
        </w:numPr>
        <w:autoSpaceDE w:val="0"/>
        <w:autoSpaceDN w:val="0"/>
        <w:adjustRightInd w:val="0"/>
        <w:spacing w:after="0" w:line="240" w:lineRule="auto"/>
        <w:rPr>
          <w:rFonts w:ascii="Calibri" w:hAnsi="Calibri" w:cs="Calibri"/>
        </w:rPr>
      </w:pPr>
      <w:r w:rsidRPr="00E81739">
        <w:rPr>
          <w:rFonts w:ascii="Calibri" w:hAnsi="Calibri" w:cs="Calibri"/>
        </w:rPr>
        <w:t>Fast tracking of specific ESS application types to be reviewed</w:t>
      </w:r>
    </w:p>
    <w:p w:rsidR="00E81739" w:rsidRPr="00E81739" w:rsidRDefault="00E81739" w:rsidP="00E81739">
      <w:pPr>
        <w:pStyle w:val="ListParagraph"/>
        <w:numPr>
          <w:ilvl w:val="1"/>
          <w:numId w:val="1"/>
        </w:numPr>
        <w:autoSpaceDE w:val="0"/>
        <w:autoSpaceDN w:val="0"/>
        <w:adjustRightInd w:val="0"/>
        <w:spacing w:after="0" w:line="240" w:lineRule="auto"/>
        <w:rPr>
          <w:rFonts w:ascii="Calibri" w:hAnsi="Calibri" w:cs="Calibri"/>
        </w:rPr>
      </w:pPr>
      <w:r w:rsidRPr="00E81739">
        <w:rPr>
          <w:rFonts w:ascii="Calibri" w:hAnsi="Calibri" w:cs="Calibri"/>
        </w:rPr>
        <w:t>Reverse power relaying limitations</w:t>
      </w:r>
    </w:p>
    <w:p w:rsidR="00E81739" w:rsidRPr="00E81739" w:rsidRDefault="00E81739" w:rsidP="00E81739">
      <w:pPr>
        <w:pStyle w:val="ListParagraph"/>
        <w:numPr>
          <w:ilvl w:val="1"/>
          <w:numId w:val="1"/>
        </w:numPr>
        <w:autoSpaceDE w:val="0"/>
        <w:autoSpaceDN w:val="0"/>
        <w:adjustRightInd w:val="0"/>
        <w:spacing w:after="0" w:line="240" w:lineRule="auto"/>
        <w:rPr>
          <w:rFonts w:ascii="Calibri" w:hAnsi="Calibri" w:cs="Calibri"/>
        </w:rPr>
      </w:pPr>
      <w:r w:rsidRPr="00E81739">
        <w:rPr>
          <w:rFonts w:ascii="Calibri" w:hAnsi="Calibri" w:cs="Calibri"/>
        </w:rPr>
        <w:t>Load threshold for behind the meter applications</w:t>
      </w:r>
    </w:p>
    <w:p w:rsidR="00E81739" w:rsidRPr="00E81739" w:rsidRDefault="00E81739" w:rsidP="00E81739">
      <w:pPr>
        <w:pStyle w:val="ListParagraph"/>
        <w:numPr>
          <w:ilvl w:val="0"/>
          <w:numId w:val="1"/>
        </w:numPr>
        <w:autoSpaceDE w:val="0"/>
        <w:autoSpaceDN w:val="0"/>
        <w:adjustRightInd w:val="0"/>
        <w:spacing w:after="0" w:line="240" w:lineRule="auto"/>
        <w:rPr>
          <w:rFonts w:ascii="Calibri" w:hAnsi="Calibri" w:cs="Calibri"/>
        </w:rPr>
      </w:pPr>
      <w:r w:rsidRPr="00E81739">
        <w:rPr>
          <w:rFonts w:ascii="Calibri" w:hAnsi="Calibri" w:cs="Calibri"/>
        </w:rPr>
        <w:t>Local municipality interconnection requirement impacts (e.g. Energy Storage System</w:t>
      </w:r>
      <w:r>
        <w:rPr>
          <w:rFonts w:ascii="Calibri" w:hAnsi="Calibri" w:cs="Calibri"/>
        </w:rPr>
        <w:t xml:space="preserve"> </w:t>
      </w:r>
      <w:r w:rsidRPr="00E81739">
        <w:rPr>
          <w:rFonts w:ascii="Calibri" w:hAnsi="Calibri" w:cs="Calibri"/>
        </w:rPr>
        <w:t>Permitting and Interconnection Process Guide For New York City Lithium‐Ion Outdoor</w:t>
      </w:r>
      <w:r>
        <w:rPr>
          <w:rFonts w:ascii="Calibri" w:hAnsi="Calibri" w:cs="Calibri"/>
        </w:rPr>
        <w:t xml:space="preserve"> </w:t>
      </w:r>
      <w:r w:rsidRPr="00E81739">
        <w:rPr>
          <w:rFonts w:ascii="Calibri" w:hAnsi="Calibri" w:cs="Calibri"/>
        </w:rPr>
        <w:t>Systems)</w:t>
      </w:r>
    </w:p>
    <w:p w:rsidR="00E81739" w:rsidRDefault="00E81739" w:rsidP="00E81739">
      <w:pPr>
        <w:pStyle w:val="ListParagraph"/>
        <w:numPr>
          <w:ilvl w:val="0"/>
          <w:numId w:val="1"/>
        </w:numPr>
        <w:autoSpaceDE w:val="0"/>
        <w:autoSpaceDN w:val="0"/>
        <w:adjustRightInd w:val="0"/>
        <w:spacing w:after="0" w:line="240" w:lineRule="auto"/>
        <w:rPr>
          <w:rFonts w:ascii="Calibri" w:hAnsi="Calibri" w:cs="Calibri"/>
        </w:rPr>
      </w:pPr>
      <w:r w:rsidRPr="00E81739">
        <w:rPr>
          <w:rFonts w:ascii="Calibri" w:hAnsi="Calibri" w:cs="Calibri"/>
        </w:rPr>
        <w:t>ESS paired with other Distributed Generation</w:t>
      </w:r>
      <w:r w:rsidR="00691103">
        <w:rPr>
          <w:rFonts w:ascii="Calibri" w:hAnsi="Calibri" w:cs="Calibri"/>
        </w:rPr>
        <w:t xml:space="preserve"> (other than solar)</w:t>
      </w:r>
    </w:p>
    <w:p w:rsidR="00F343C9" w:rsidRDefault="00F343C9" w:rsidP="00F343C9">
      <w:pPr>
        <w:autoSpaceDE w:val="0"/>
        <w:autoSpaceDN w:val="0"/>
        <w:adjustRightInd w:val="0"/>
        <w:spacing w:after="0" w:line="240" w:lineRule="auto"/>
        <w:rPr>
          <w:rFonts w:ascii="Calibri" w:hAnsi="Calibri" w:cs="Calibri"/>
        </w:rPr>
      </w:pPr>
    </w:p>
    <w:p w:rsidR="004022EB" w:rsidRPr="007B6D7A" w:rsidRDefault="004022EB" w:rsidP="00F343C9">
      <w:pPr>
        <w:autoSpaceDE w:val="0"/>
        <w:autoSpaceDN w:val="0"/>
        <w:adjustRightInd w:val="0"/>
        <w:spacing w:after="0" w:line="240" w:lineRule="auto"/>
        <w:rPr>
          <w:rFonts w:ascii="Calibri" w:hAnsi="Calibri" w:cs="Calibri"/>
          <w:i/>
        </w:rPr>
      </w:pPr>
      <w:r w:rsidRPr="007B6D7A">
        <w:rPr>
          <w:rFonts w:ascii="Calibri" w:hAnsi="Calibri" w:cs="Calibri"/>
          <w:i/>
        </w:rPr>
        <w:t>Massachusetts ESS implementation</w:t>
      </w:r>
    </w:p>
    <w:p w:rsidR="00CF6BFA" w:rsidRDefault="00CF6BFA" w:rsidP="00226AC4">
      <w:pPr>
        <w:pStyle w:val="ListParagraph"/>
        <w:numPr>
          <w:ilvl w:val="0"/>
          <w:numId w:val="1"/>
        </w:numPr>
        <w:autoSpaceDE w:val="0"/>
        <w:autoSpaceDN w:val="0"/>
        <w:adjustRightInd w:val="0"/>
        <w:spacing w:after="0" w:line="240" w:lineRule="auto"/>
        <w:rPr>
          <w:rFonts w:ascii="Calibri" w:hAnsi="Calibri" w:cs="Calibri"/>
        </w:rPr>
      </w:pPr>
      <w:r w:rsidRPr="007B6D7A">
        <w:rPr>
          <w:rFonts w:ascii="Calibri" w:hAnsi="Calibri" w:cs="Calibri"/>
        </w:rPr>
        <w:t>Mike Conway mentioned MA ESS implementation and</w:t>
      </w:r>
      <w:r w:rsidR="007B6D7A">
        <w:rPr>
          <w:rFonts w:ascii="Calibri" w:hAnsi="Calibri" w:cs="Calibri"/>
        </w:rPr>
        <w:t xml:space="preserve"> challenges that have popped up:</w:t>
      </w:r>
    </w:p>
    <w:p w:rsidR="007B6D7A" w:rsidRDefault="007B6D7A" w:rsidP="007B6D7A">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Queue explosions of ESS projects</w:t>
      </w:r>
    </w:p>
    <w:p w:rsidR="007B6D7A" w:rsidRDefault="007B6D7A" w:rsidP="007B6D7A">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ESS being added to existing solar projects already in the queue</w:t>
      </w:r>
    </w:p>
    <w:p w:rsidR="007B6D7A" w:rsidRDefault="007B6D7A" w:rsidP="007B6D7A">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Mike feels NY should anticipate these issues</w:t>
      </w:r>
      <w:r w:rsidR="009A58C7">
        <w:rPr>
          <w:rFonts w:ascii="Calibri" w:hAnsi="Calibri" w:cs="Calibri"/>
        </w:rPr>
        <w:t xml:space="preserve"> and get ahead of them if possible</w:t>
      </w:r>
    </w:p>
    <w:p w:rsidR="007B6D7A" w:rsidRDefault="007B6D7A" w:rsidP="00F343C9">
      <w:pPr>
        <w:autoSpaceDE w:val="0"/>
        <w:autoSpaceDN w:val="0"/>
        <w:adjustRightInd w:val="0"/>
        <w:spacing w:after="0" w:line="240" w:lineRule="auto"/>
        <w:rPr>
          <w:rFonts w:ascii="Calibri" w:hAnsi="Calibri" w:cs="Calibri"/>
          <w:i/>
        </w:rPr>
      </w:pPr>
    </w:p>
    <w:p w:rsidR="004022EB" w:rsidRPr="004022EB" w:rsidRDefault="004022EB" w:rsidP="00F343C9">
      <w:pPr>
        <w:autoSpaceDE w:val="0"/>
        <w:autoSpaceDN w:val="0"/>
        <w:adjustRightInd w:val="0"/>
        <w:spacing w:after="0" w:line="240" w:lineRule="auto"/>
        <w:rPr>
          <w:rFonts w:ascii="Calibri" w:hAnsi="Calibri" w:cs="Calibri"/>
          <w:i/>
        </w:rPr>
      </w:pPr>
      <w:r w:rsidRPr="004022EB">
        <w:rPr>
          <w:rFonts w:ascii="Calibri" w:hAnsi="Calibri" w:cs="Calibri"/>
          <w:i/>
        </w:rPr>
        <w:t>Follow up</w:t>
      </w:r>
    </w:p>
    <w:p w:rsidR="004022EB" w:rsidRDefault="004022EB" w:rsidP="00F343C9">
      <w:pPr>
        <w:autoSpaceDE w:val="0"/>
        <w:autoSpaceDN w:val="0"/>
        <w:adjustRightInd w:val="0"/>
        <w:spacing w:after="0" w:line="240" w:lineRule="auto"/>
        <w:rPr>
          <w:rFonts w:ascii="Calibri" w:hAnsi="Calibri" w:cs="Calibri"/>
        </w:rPr>
      </w:pPr>
    </w:p>
    <w:p w:rsidR="00F343C9" w:rsidRPr="004022EB" w:rsidRDefault="00F343C9" w:rsidP="004022EB">
      <w:pPr>
        <w:pStyle w:val="ListParagraph"/>
        <w:numPr>
          <w:ilvl w:val="0"/>
          <w:numId w:val="1"/>
        </w:numPr>
        <w:autoSpaceDE w:val="0"/>
        <w:autoSpaceDN w:val="0"/>
        <w:adjustRightInd w:val="0"/>
        <w:spacing w:after="0" w:line="240" w:lineRule="auto"/>
        <w:rPr>
          <w:rFonts w:ascii="Calibri" w:hAnsi="Calibri" w:cs="Calibri"/>
        </w:rPr>
      </w:pPr>
      <w:r w:rsidRPr="004022EB">
        <w:rPr>
          <w:rFonts w:ascii="Calibri" w:hAnsi="Calibri" w:cs="Calibri"/>
        </w:rPr>
        <w:t xml:space="preserve">SI to comment on JU </w:t>
      </w:r>
      <w:r w:rsidR="00CF6BFA" w:rsidRPr="004022EB">
        <w:rPr>
          <w:rFonts w:ascii="Calibri" w:hAnsi="Calibri" w:cs="Calibri"/>
        </w:rPr>
        <w:t>notes by 9/21/2018.</w:t>
      </w:r>
    </w:p>
    <w:p w:rsidR="00AF662B" w:rsidRPr="00AF662B" w:rsidRDefault="00AF662B" w:rsidP="00AF662B">
      <w:pPr>
        <w:pStyle w:val="ListParagraph"/>
        <w:autoSpaceDE w:val="0"/>
        <w:autoSpaceDN w:val="0"/>
        <w:adjustRightInd w:val="0"/>
        <w:spacing w:after="0" w:line="240" w:lineRule="auto"/>
        <w:ind w:left="1440"/>
        <w:rPr>
          <w:rFonts w:ascii="Calibri" w:hAnsi="Calibri" w:cs="Calibri"/>
        </w:rPr>
      </w:pPr>
    </w:p>
    <w:p w:rsidR="00CF6BFA" w:rsidRDefault="00632B47" w:rsidP="00CF6BFA">
      <w:pPr>
        <w:rPr>
          <w:b/>
        </w:rPr>
      </w:pPr>
      <w:r>
        <w:rPr>
          <w:b/>
        </w:rPr>
        <w:t>Multiple DER Meter Configuration</w:t>
      </w:r>
    </w:p>
    <w:p w:rsidR="0058292D" w:rsidRPr="0058292D" w:rsidRDefault="0058292D" w:rsidP="00CF6BFA">
      <w:r w:rsidRPr="0058292D">
        <w:t>Background</w:t>
      </w:r>
    </w:p>
    <w:p w:rsidR="00043DA2" w:rsidRPr="00CF6BFA" w:rsidRDefault="00043DA2" w:rsidP="00CF6BFA">
      <w:pPr>
        <w:pStyle w:val="ListParagraph"/>
        <w:numPr>
          <w:ilvl w:val="0"/>
          <w:numId w:val="1"/>
        </w:numPr>
        <w:autoSpaceDE w:val="0"/>
        <w:autoSpaceDN w:val="0"/>
        <w:adjustRightInd w:val="0"/>
        <w:spacing w:after="0" w:line="240" w:lineRule="auto"/>
        <w:rPr>
          <w:rFonts w:ascii="Calibri" w:hAnsi="Calibri" w:cs="Calibri"/>
        </w:rPr>
      </w:pPr>
      <w:r w:rsidRPr="00CF6BFA">
        <w:rPr>
          <w:rFonts w:ascii="Calibri" w:hAnsi="Calibri" w:cs="Calibri"/>
        </w:rPr>
        <w:t>Multiple DERs with different energy values</w:t>
      </w:r>
    </w:p>
    <w:p w:rsidR="00043DA2" w:rsidRPr="00CF6BFA" w:rsidRDefault="00043DA2" w:rsidP="00CF6BFA">
      <w:pPr>
        <w:pStyle w:val="ListParagraph"/>
        <w:numPr>
          <w:ilvl w:val="1"/>
          <w:numId w:val="1"/>
        </w:numPr>
        <w:autoSpaceDE w:val="0"/>
        <w:autoSpaceDN w:val="0"/>
        <w:adjustRightInd w:val="0"/>
        <w:spacing w:after="0" w:line="240" w:lineRule="auto"/>
        <w:rPr>
          <w:rFonts w:ascii="Calibri" w:hAnsi="Calibri" w:cs="Calibri"/>
        </w:rPr>
      </w:pPr>
      <w:r w:rsidRPr="00CF6BFA">
        <w:rPr>
          <w:rFonts w:ascii="Calibri" w:hAnsi="Calibri" w:cs="Calibri"/>
        </w:rPr>
        <w:t xml:space="preserve">PV: </w:t>
      </w:r>
      <w:r w:rsidRPr="00CF6BFA">
        <w:rPr>
          <w:rFonts w:ascii="Calibri" w:hAnsi="Calibri" w:cs="Calibri"/>
        </w:rPr>
        <w:tab/>
        <w:t>VDER</w:t>
      </w:r>
    </w:p>
    <w:p w:rsidR="00043DA2" w:rsidRPr="00CF6BFA" w:rsidRDefault="00043DA2" w:rsidP="00CF6BFA">
      <w:pPr>
        <w:pStyle w:val="ListParagraph"/>
        <w:numPr>
          <w:ilvl w:val="1"/>
          <w:numId w:val="1"/>
        </w:numPr>
        <w:autoSpaceDE w:val="0"/>
        <w:autoSpaceDN w:val="0"/>
        <w:adjustRightInd w:val="0"/>
        <w:spacing w:after="0" w:line="240" w:lineRule="auto"/>
        <w:rPr>
          <w:rFonts w:ascii="Calibri" w:hAnsi="Calibri" w:cs="Calibri"/>
        </w:rPr>
      </w:pPr>
      <w:r w:rsidRPr="00CF6BFA">
        <w:rPr>
          <w:rFonts w:ascii="Calibri" w:hAnsi="Calibri" w:cs="Calibri"/>
        </w:rPr>
        <w:t>Wind:</w:t>
      </w:r>
      <w:r w:rsidRPr="00CF6BFA">
        <w:rPr>
          <w:rFonts w:ascii="Calibri" w:hAnsi="Calibri" w:cs="Calibri"/>
        </w:rPr>
        <w:tab/>
        <w:t>NEM until 0.3% Cap is reached</w:t>
      </w:r>
    </w:p>
    <w:p w:rsidR="00043DA2" w:rsidRPr="00CF6BFA" w:rsidRDefault="00043DA2" w:rsidP="00CF6BFA">
      <w:pPr>
        <w:pStyle w:val="ListParagraph"/>
        <w:numPr>
          <w:ilvl w:val="1"/>
          <w:numId w:val="1"/>
        </w:numPr>
        <w:autoSpaceDE w:val="0"/>
        <w:autoSpaceDN w:val="0"/>
        <w:adjustRightInd w:val="0"/>
        <w:spacing w:after="0" w:line="240" w:lineRule="auto"/>
        <w:rPr>
          <w:rFonts w:ascii="Calibri" w:hAnsi="Calibri" w:cs="Calibri"/>
        </w:rPr>
      </w:pPr>
      <w:r w:rsidRPr="00CF6BFA">
        <w:rPr>
          <w:rFonts w:ascii="Calibri" w:hAnsi="Calibri" w:cs="Calibri"/>
        </w:rPr>
        <w:t>CHP:</w:t>
      </w:r>
      <w:r w:rsidRPr="00CF6BFA">
        <w:rPr>
          <w:rFonts w:ascii="Calibri" w:hAnsi="Calibri" w:cs="Calibri"/>
        </w:rPr>
        <w:tab/>
        <w:t>VDER if ≤ 10 kW</w:t>
      </w:r>
    </w:p>
    <w:p w:rsidR="00043DA2" w:rsidRPr="00CF6BFA" w:rsidRDefault="00043DA2" w:rsidP="00CF6BFA">
      <w:pPr>
        <w:pStyle w:val="ListParagraph"/>
        <w:numPr>
          <w:ilvl w:val="1"/>
          <w:numId w:val="1"/>
        </w:numPr>
        <w:autoSpaceDE w:val="0"/>
        <w:autoSpaceDN w:val="0"/>
        <w:adjustRightInd w:val="0"/>
        <w:spacing w:after="0" w:line="240" w:lineRule="auto"/>
        <w:rPr>
          <w:rFonts w:ascii="Calibri" w:hAnsi="Calibri" w:cs="Calibri"/>
        </w:rPr>
      </w:pPr>
      <w:r w:rsidRPr="00CF6BFA">
        <w:rPr>
          <w:rFonts w:ascii="Calibri" w:hAnsi="Calibri" w:cs="Calibri"/>
        </w:rPr>
        <w:t>ESS:</w:t>
      </w:r>
      <w:r w:rsidRPr="00CF6BFA">
        <w:rPr>
          <w:rFonts w:ascii="Calibri" w:hAnsi="Calibri" w:cs="Calibri"/>
        </w:rPr>
        <w:tab/>
        <w:t>Multiple possible valuations</w:t>
      </w:r>
    </w:p>
    <w:p w:rsidR="00043DA2" w:rsidRPr="00CF6BFA" w:rsidRDefault="00043DA2" w:rsidP="00CF6BFA">
      <w:pPr>
        <w:pStyle w:val="ListParagraph"/>
        <w:numPr>
          <w:ilvl w:val="0"/>
          <w:numId w:val="1"/>
        </w:numPr>
        <w:autoSpaceDE w:val="0"/>
        <w:autoSpaceDN w:val="0"/>
        <w:adjustRightInd w:val="0"/>
        <w:spacing w:after="0" w:line="240" w:lineRule="auto"/>
        <w:rPr>
          <w:rFonts w:ascii="Calibri" w:hAnsi="Calibri" w:cs="Calibri"/>
        </w:rPr>
      </w:pPr>
      <w:r w:rsidRPr="00CF6BFA">
        <w:rPr>
          <w:rFonts w:ascii="Calibri" w:hAnsi="Calibri" w:cs="Calibri"/>
        </w:rPr>
        <w:t>Expected increase in Commercial PV + Storage</w:t>
      </w:r>
    </w:p>
    <w:p w:rsidR="00043DA2" w:rsidRPr="00CF6BFA" w:rsidRDefault="00043DA2" w:rsidP="00CF6BFA">
      <w:pPr>
        <w:pStyle w:val="ListParagraph"/>
        <w:numPr>
          <w:ilvl w:val="0"/>
          <w:numId w:val="1"/>
        </w:numPr>
        <w:autoSpaceDE w:val="0"/>
        <w:autoSpaceDN w:val="0"/>
        <w:adjustRightInd w:val="0"/>
        <w:spacing w:after="0" w:line="240" w:lineRule="auto"/>
        <w:rPr>
          <w:rFonts w:ascii="Calibri" w:hAnsi="Calibri" w:cs="Calibri"/>
        </w:rPr>
      </w:pPr>
      <w:r w:rsidRPr="00CF6BFA">
        <w:rPr>
          <w:rFonts w:ascii="Calibri" w:hAnsi="Calibri" w:cs="Calibri"/>
        </w:rPr>
        <w:t>Updated Utility admin role</w:t>
      </w:r>
    </w:p>
    <w:p w:rsidR="00043DA2" w:rsidRPr="00CF6BFA" w:rsidRDefault="00043DA2" w:rsidP="00CF6BFA">
      <w:pPr>
        <w:pStyle w:val="ListParagraph"/>
        <w:numPr>
          <w:ilvl w:val="0"/>
          <w:numId w:val="1"/>
        </w:numPr>
        <w:autoSpaceDE w:val="0"/>
        <w:autoSpaceDN w:val="0"/>
        <w:adjustRightInd w:val="0"/>
        <w:spacing w:after="0" w:line="240" w:lineRule="auto"/>
        <w:rPr>
          <w:rFonts w:ascii="Calibri" w:hAnsi="Calibri" w:cs="Calibri"/>
        </w:rPr>
      </w:pPr>
      <w:r w:rsidRPr="00CF6BFA">
        <w:rPr>
          <w:rFonts w:ascii="Calibri" w:hAnsi="Calibri" w:cs="Calibri"/>
        </w:rPr>
        <w:t>New applications for Metering Departments</w:t>
      </w:r>
    </w:p>
    <w:p w:rsidR="00243A07" w:rsidRDefault="00243A07" w:rsidP="00632B47"/>
    <w:p w:rsidR="00CF6BFA" w:rsidRDefault="00CF6BFA" w:rsidP="00632B47">
      <w:r w:rsidRPr="00CF6BFA">
        <w:t>Issues</w:t>
      </w:r>
    </w:p>
    <w:p w:rsidR="00043DA2" w:rsidRPr="00CF6BFA" w:rsidRDefault="00043DA2" w:rsidP="00CF6BFA">
      <w:pPr>
        <w:pStyle w:val="ListParagraph"/>
        <w:numPr>
          <w:ilvl w:val="0"/>
          <w:numId w:val="1"/>
        </w:numPr>
        <w:autoSpaceDE w:val="0"/>
        <w:autoSpaceDN w:val="0"/>
        <w:adjustRightInd w:val="0"/>
        <w:spacing w:after="0" w:line="240" w:lineRule="auto"/>
        <w:rPr>
          <w:rFonts w:ascii="Calibri" w:hAnsi="Calibri" w:cs="Calibri"/>
        </w:rPr>
      </w:pPr>
      <w:r w:rsidRPr="00CF6BFA">
        <w:rPr>
          <w:rFonts w:ascii="Calibri" w:hAnsi="Calibri" w:cs="Calibri"/>
        </w:rPr>
        <w:t xml:space="preserve">Utility Concerns </w:t>
      </w:r>
    </w:p>
    <w:p w:rsidR="00043DA2" w:rsidRPr="00CF6BFA" w:rsidRDefault="00043DA2" w:rsidP="00CF6BFA">
      <w:pPr>
        <w:pStyle w:val="ListParagraph"/>
        <w:numPr>
          <w:ilvl w:val="1"/>
          <w:numId w:val="1"/>
        </w:numPr>
        <w:autoSpaceDE w:val="0"/>
        <w:autoSpaceDN w:val="0"/>
        <w:adjustRightInd w:val="0"/>
        <w:spacing w:after="0" w:line="240" w:lineRule="auto"/>
        <w:rPr>
          <w:rFonts w:ascii="Calibri" w:hAnsi="Calibri" w:cs="Calibri"/>
        </w:rPr>
      </w:pPr>
      <w:r w:rsidRPr="00CF6BFA">
        <w:rPr>
          <w:rFonts w:ascii="Calibri" w:hAnsi="Calibri" w:cs="Calibri"/>
        </w:rPr>
        <w:t>Inverter night-time load (1W – 4W per String Inverter)</w:t>
      </w:r>
    </w:p>
    <w:p w:rsidR="00043DA2" w:rsidRPr="00CF6BFA" w:rsidRDefault="00043DA2" w:rsidP="00CF6BFA">
      <w:pPr>
        <w:pStyle w:val="ListParagraph"/>
        <w:numPr>
          <w:ilvl w:val="1"/>
          <w:numId w:val="1"/>
        </w:numPr>
        <w:autoSpaceDE w:val="0"/>
        <w:autoSpaceDN w:val="0"/>
        <w:adjustRightInd w:val="0"/>
        <w:spacing w:after="0" w:line="240" w:lineRule="auto"/>
        <w:rPr>
          <w:rFonts w:ascii="Calibri" w:hAnsi="Calibri" w:cs="Calibri"/>
        </w:rPr>
      </w:pPr>
      <w:r w:rsidRPr="00CF6BFA">
        <w:rPr>
          <w:rFonts w:ascii="Calibri" w:hAnsi="Calibri" w:cs="Calibri"/>
        </w:rPr>
        <w:t>Administrative Work</w:t>
      </w:r>
    </w:p>
    <w:p w:rsidR="00043DA2" w:rsidRDefault="00043DA2" w:rsidP="00CF6BFA">
      <w:pPr>
        <w:pStyle w:val="ListParagraph"/>
        <w:numPr>
          <w:ilvl w:val="1"/>
          <w:numId w:val="1"/>
        </w:numPr>
        <w:autoSpaceDE w:val="0"/>
        <w:autoSpaceDN w:val="0"/>
        <w:adjustRightInd w:val="0"/>
        <w:spacing w:after="0" w:line="240" w:lineRule="auto"/>
        <w:rPr>
          <w:rFonts w:ascii="Calibri" w:hAnsi="Calibri" w:cs="Calibri"/>
        </w:rPr>
      </w:pPr>
      <w:r w:rsidRPr="00CF6BFA">
        <w:rPr>
          <w:rFonts w:ascii="Calibri" w:hAnsi="Calibri" w:cs="Calibri"/>
        </w:rPr>
        <w:t>Visibility / Monitoring</w:t>
      </w:r>
    </w:p>
    <w:p w:rsidR="00043DA2" w:rsidRPr="00CF6BFA" w:rsidRDefault="00043DA2" w:rsidP="00CF6BFA">
      <w:pPr>
        <w:pStyle w:val="ListParagraph"/>
        <w:numPr>
          <w:ilvl w:val="0"/>
          <w:numId w:val="1"/>
        </w:numPr>
        <w:autoSpaceDE w:val="0"/>
        <w:autoSpaceDN w:val="0"/>
        <w:adjustRightInd w:val="0"/>
        <w:spacing w:line="240" w:lineRule="auto"/>
        <w:rPr>
          <w:rFonts w:ascii="Calibri" w:hAnsi="Calibri" w:cs="Calibri"/>
        </w:rPr>
      </w:pPr>
      <w:r w:rsidRPr="00CF6BFA">
        <w:rPr>
          <w:rFonts w:ascii="Calibri" w:hAnsi="Calibri" w:cs="Calibri"/>
        </w:rPr>
        <w:t xml:space="preserve">Industry Concerns </w:t>
      </w:r>
    </w:p>
    <w:p w:rsidR="00043DA2" w:rsidRPr="00CF6BFA" w:rsidRDefault="00043DA2" w:rsidP="00CF6BFA">
      <w:pPr>
        <w:pStyle w:val="ListParagraph"/>
        <w:numPr>
          <w:ilvl w:val="0"/>
          <w:numId w:val="1"/>
        </w:numPr>
        <w:autoSpaceDE w:val="0"/>
        <w:autoSpaceDN w:val="0"/>
        <w:adjustRightInd w:val="0"/>
        <w:spacing w:line="240" w:lineRule="auto"/>
        <w:ind w:left="1080"/>
        <w:rPr>
          <w:rFonts w:ascii="Calibri" w:hAnsi="Calibri" w:cs="Calibri"/>
        </w:rPr>
      </w:pPr>
      <w:r w:rsidRPr="00CF6BFA">
        <w:rPr>
          <w:rFonts w:ascii="Calibri" w:hAnsi="Calibri" w:cs="Calibri"/>
        </w:rPr>
        <w:t>Correct Valuation and Billing</w:t>
      </w:r>
    </w:p>
    <w:p w:rsidR="00043DA2" w:rsidRPr="00CF6BFA" w:rsidRDefault="00043DA2" w:rsidP="00CF6BFA">
      <w:pPr>
        <w:pStyle w:val="ListParagraph"/>
        <w:numPr>
          <w:ilvl w:val="0"/>
          <w:numId w:val="1"/>
        </w:numPr>
        <w:autoSpaceDE w:val="0"/>
        <w:autoSpaceDN w:val="0"/>
        <w:adjustRightInd w:val="0"/>
        <w:spacing w:line="240" w:lineRule="auto"/>
        <w:ind w:left="1080"/>
        <w:rPr>
          <w:rFonts w:ascii="Calibri" w:hAnsi="Calibri" w:cs="Calibri"/>
        </w:rPr>
      </w:pPr>
      <w:r w:rsidRPr="00CF6BFA">
        <w:rPr>
          <w:rFonts w:ascii="Calibri" w:hAnsi="Calibri" w:cs="Calibri"/>
        </w:rPr>
        <w:t>Expensive Metering Equipment</w:t>
      </w:r>
    </w:p>
    <w:p w:rsidR="00043DA2" w:rsidRDefault="00043DA2" w:rsidP="00CF6BFA">
      <w:pPr>
        <w:pStyle w:val="ListParagraph"/>
        <w:numPr>
          <w:ilvl w:val="1"/>
          <w:numId w:val="1"/>
        </w:numPr>
        <w:autoSpaceDE w:val="0"/>
        <w:autoSpaceDN w:val="0"/>
        <w:adjustRightInd w:val="0"/>
        <w:spacing w:line="240" w:lineRule="auto"/>
        <w:rPr>
          <w:rFonts w:ascii="Calibri" w:hAnsi="Calibri" w:cs="Calibri"/>
        </w:rPr>
      </w:pPr>
      <w:r w:rsidRPr="00CF6BFA">
        <w:rPr>
          <w:rFonts w:ascii="Calibri" w:hAnsi="Calibri" w:cs="Calibri"/>
        </w:rPr>
        <w:t>New Service Costs: ($10k - $50k)</w:t>
      </w:r>
    </w:p>
    <w:p w:rsidR="00EC2B32" w:rsidRPr="00CF6BFA" w:rsidRDefault="00EC2B32" w:rsidP="00EC2B32">
      <w:pPr>
        <w:pStyle w:val="ListParagraph"/>
        <w:numPr>
          <w:ilvl w:val="2"/>
          <w:numId w:val="1"/>
        </w:numPr>
        <w:autoSpaceDE w:val="0"/>
        <w:autoSpaceDN w:val="0"/>
        <w:adjustRightInd w:val="0"/>
        <w:spacing w:line="240" w:lineRule="auto"/>
        <w:rPr>
          <w:rFonts w:ascii="Calibri" w:hAnsi="Calibri" w:cs="Calibri"/>
        </w:rPr>
      </w:pPr>
      <w:r>
        <w:rPr>
          <w:rFonts w:ascii="Calibri" w:hAnsi="Calibri" w:cs="Calibri"/>
        </w:rPr>
        <w:t>Utilities would like SI to provide examples to better understand the issues</w:t>
      </w:r>
      <w:r w:rsidR="00176DD6">
        <w:rPr>
          <w:rFonts w:ascii="Calibri" w:hAnsi="Calibri" w:cs="Calibri"/>
        </w:rPr>
        <w:t xml:space="preserve"> and see if there are alternate solutions to these service costs</w:t>
      </w:r>
    </w:p>
    <w:p w:rsidR="00043DA2" w:rsidRPr="00CF6BFA" w:rsidRDefault="00043DA2" w:rsidP="00CF6BFA">
      <w:pPr>
        <w:pStyle w:val="ListParagraph"/>
        <w:numPr>
          <w:ilvl w:val="1"/>
          <w:numId w:val="1"/>
        </w:numPr>
        <w:autoSpaceDE w:val="0"/>
        <w:autoSpaceDN w:val="0"/>
        <w:adjustRightInd w:val="0"/>
        <w:spacing w:line="240" w:lineRule="auto"/>
        <w:rPr>
          <w:rFonts w:ascii="Calibri" w:hAnsi="Calibri" w:cs="Calibri"/>
        </w:rPr>
      </w:pPr>
      <w:r w:rsidRPr="00CF6BFA">
        <w:rPr>
          <w:rFonts w:ascii="Calibri" w:hAnsi="Calibri" w:cs="Calibri"/>
        </w:rPr>
        <w:t>Required Primary Metering ($30k – $50k)</w:t>
      </w:r>
    </w:p>
    <w:p w:rsidR="004D2BB4" w:rsidRDefault="00043DA2" w:rsidP="004D2BB4">
      <w:pPr>
        <w:pStyle w:val="ListParagraph"/>
        <w:numPr>
          <w:ilvl w:val="1"/>
          <w:numId w:val="1"/>
        </w:numPr>
        <w:autoSpaceDE w:val="0"/>
        <w:autoSpaceDN w:val="0"/>
        <w:adjustRightInd w:val="0"/>
        <w:spacing w:line="240" w:lineRule="auto"/>
        <w:rPr>
          <w:rFonts w:ascii="Calibri" w:hAnsi="Calibri" w:cs="Calibri"/>
        </w:rPr>
      </w:pPr>
      <w:r w:rsidRPr="00CF6BFA">
        <w:rPr>
          <w:rFonts w:ascii="Calibri" w:hAnsi="Calibri" w:cs="Calibri"/>
        </w:rPr>
        <w:t>Expensive CTs ($5 - $10k)</w:t>
      </w:r>
    </w:p>
    <w:p w:rsidR="00632B47" w:rsidRDefault="00632B47" w:rsidP="00632B47">
      <w:pPr>
        <w:rPr>
          <w:b/>
        </w:rPr>
      </w:pPr>
      <w:r>
        <w:rPr>
          <w:b/>
        </w:rPr>
        <w:t>CESIR Standardization Efforts</w:t>
      </w:r>
    </w:p>
    <w:p w:rsidR="00963480" w:rsidRPr="00963480" w:rsidRDefault="00963480" w:rsidP="00963480">
      <w:pPr>
        <w:pStyle w:val="ListParagraph"/>
        <w:numPr>
          <w:ilvl w:val="0"/>
          <w:numId w:val="1"/>
        </w:numPr>
      </w:pPr>
      <w:r w:rsidRPr="00963480">
        <w:t>Clustered costs</w:t>
      </w:r>
    </w:p>
    <w:p w:rsidR="00963480" w:rsidRPr="00963480" w:rsidRDefault="00E753D9" w:rsidP="00963480">
      <w:pPr>
        <w:pStyle w:val="ListParagraph"/>
        <w:numPr>
          <w:ilvl w:val="1"/>
          <w:numId w:val="1"/>
        </w:numPr>
        <w:rPr>
          <w:b/>
        </w:rPr>
      </w:pPr>
      <w:r>
        <w:t>Be aware that some of the CESIR cost data is for multiple projects</w:t>
      </w:r>
    </w:p>
    <w:p w:rsidR="00043DA2" w:rsidRPr="00CD192B" w:rsidRDefault="00043DA2" w:rsidP="00043DA2"/>
    <w:sectPr w:rsidR="00043DA2" w:rsidRPr="00CD1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0BAC"/>
    <w:multiLevelType w:val="hybridMultilevel"/>
    <w:tmpl w:val="FB524036"/>
    <w:lvl w:ilvl="0" w:tplc="E99806A0">
      <w:start w:val="1"/>
      <w:numFmt w:val="bullet"/>
      <w:lvlText w:val=""/>
      <w:lvlJc w:val="left"/>
      <w:pPr>
        <w:tabs>
          <w:tab w:val="num" w:pos="720"/>
        </w:tabs>
        <w:ind w:left="720" w:hanging="360"/>
      </w:pPr>
      <w:rPr>
        <w:rFonts w:ascii="Wingdings" w:hAnsi="Wingdings" w:hint="default"/>
      </w:rPr>
    </w:lvl>
    <w:lvl w:ilvl="1" w:tplc="69DA26C0" w:tentative="1">
      <w:start w:val="1"/>
      <w:numFmt w:val="bullet"/>
      <w:lvlText w:val=""/>
      <w:lvlJc w:val="left"/>
      <w:pPr>
        <w:tabs>
          <w:tab w:val="num" w:pos="1440"/>
        </w:tabs>
        <w:ind w:left="1440" w:hanging="360"/>
      </w:pPr>
      <w:rPr>
        <w:rFonts w:ascii="Wingdings" w:hAnsi="Wingdings" w:hint="default"/>
      </w:rPr>
    </w:lvl>
    <w:lvl w:ilvl="2" w:tplc="F8020E46" w:tentative="1">
      <w:start w:val="1"/>
      <w:numFmt w:val="bullet"/>
      <w:lvlText w:val=""/>
      <w:lvlJc w:val="left"/>
      <w:pPr>
        <w:tabs>
          <w:tab w:val="num" w:pos="2160"/>
        </w:tabs>
        <w:ind w:left="2160" w:hanging="360"/>
      </w:pPr>
      <w:rPr>
        <w:rFonts w:ascii="Wingdings" w:hAnsi="Wingdings" w:hint="default"/>
      </w:rPr>
    </w:lvl>
    <w:lvl w:ilvl="3" w:tplc="D9AC5552" w:tentative="1">
      <w:start w:val="1"/>
      <w:numFmt w:val="bullet"/>
      <w:lvlText w:val=""/>
      <w:lvlJc w:val="left"/>
      <w:pPr>
        <w:tabs>
          <w:tab w:val="num" w:pos="2880"/>
        </w:tabs>
        <w:ind w:left="2880" w:hanging="360"/>
      </w:pPr>
      <w:rPr>
        <w:rFonts w:ascii="Wingdings" w:hAnsi="Wingdings" w:hint="default"/>
      </w:rPr>
    </w:lvl>
    <w:lvl w:ilvl="4" w:tplc="99E453C2" w:tentative="1">
      <w:start w:val="1"/>
      <w:numFmt w:val="bullet"/>
      <w:lvlText w:val=""/>
      <w:lvlJc w:val="left"/>
      <w:pPr>
        <w:tabs>
          <w:tab w:val="num" w:pos="3600"/>
        </w:tabs>
        <w:ind w:left="3600" w:hanging="360"/>
      </w:pPr>
      <w:rPr>
        <w:rFonts w:ascii="Wingdings" w:hAnsi="Wingdings" w:hint="default"/>
      </w:rPr>
    </w:lvl>
    <w:lvl w:ilvl="5" w:tplc="C70CC5A0" w:tentative="1">
      <w:start w:val="1"/>
      <w:numFmt w:val="bullet"/>
      <w:lvlText w:val=""/>
      <w:lvlJc w:val="left"/>
      <w:pPr>
        <w:tabs>
          <w:tab w:val="num" w:pos="4320"/>
        </w:tabs>
        <w:ind w:left="4320" w:hanging="360"/>
      </w:pPr>
      <w:rPr>
        <w:rFonts w:ascii="Wingdings" w:hAnsi="Wingdings" w:hint="default"/>
      </w:rPr>
    </w:lvl>
    <w:lvl w:ilvl="6" w:tplc="078258EE" w:tentative="1">
      <w:start w:val="1"/>
      <w:numFmt w:val="bullet"/>
      <w:lvlText w:val=""/>
      <w:lvlJc w:val="left"/>
      <w:pPr>
        <w:tabs>
          <w:tab w:val="num" w:pos="5040"/>
        </w:tabs>
        <w:ind w:left="5040" w:hanging="360"/>
      </w:pPr>
      <w:rPr>
        <w:rFonts w:ascii="Wingdings" w:hAnsi="Wingdings" w:hint="default"/>
      </w:rPr>
    </w:lvl>
    <w:lvl w:ilvl="7" w:tplc="1ECCEABC" w:tentative="1">
      <w:start w:val="1"/>
      <w:numFmt w:val="bullet"/>
      <w:lvlText w:val=""/>
      <w:lvlJc w:val="left"/>
      <w:pPr>
        <w:tabs>
          <w:tab w:val="num" w:pos="5760"/>
        </w:tabs>
        <w:ind w:left="5760" w:hanging="360"/>
      </w:pPr>
      <w:rPr>
        <w:rFonts w:ascii="Wingdings" w:hAnsi="Wingdings" w:hint="default"/>
      </w:rPr>
    </w:lvl>
    <w:lvl w:ilvl="8" w:tplc="C862FD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935C34"/>
    <w:multiLevelType w:val="hybridMultilevel"/>
    <w:tmpl w:val="02FCC35A"/>
    <w:lvl w:ilvl="0" w:tplc="DDB029D8">
      <w:start w:val="1"/>
      <w:numFmt w:val="bullet"/>
      <w:lvlText w:val="•"/>
      <w:lvlJc w:val="left"/>
      <w:pPr>
        <w:tabs>
          <w:tab w:val="num" w:pos="720"/>
        </w:tabs>
        <w:ind w:left="720" w:hanging="360"/>
      </w:pPr>
      <w:rPr>
        <w:rFonts w:ascii="Arial" w:hAnsi="Arial" w:hint="default"/>
      </w:rPr>
    </w:lvl>
    <w:lvl w:ilvl="1" w:tplc="955A0A22">
      <w:numFmt w:val="bullet"/>
      <w:lvlText w:val="•"/>
      <w:lvlJc w:val="left"/>
      <w:pPr>
        <w:tabs>
          <w:tab w:val="num" w:pos="1440"/>
        </w:tabs>
        <w:ind w:left="1440" w:hanging="360"/>
      </w:pPr>
      <w:rPr>
        <w:rFonts w:ascii="Arial" w:hAnsi="Arial" w:hint="default"/>
      </w:rPr>
    </w:lvl>
    <w:lvl w:ilvl="2" w:tplc="2A14A8C6" w:tentative="1">
      <w:start w:val="1"/>
      <w:numFmt w:val="bullet"/>
      <w:lvlText w:val="•"/>
      <w:lvlJc w:val="left"/>
      <w:pPr>
        <w:tabs>
          <w:tab w:val="num" w:pos="2160"/>
        </w:tabs>
        <w:ind w:left="2160" w:hanging="360"/>
      </w:pPr>
      <w:rPr>
        <w:rFonts w:ascii="Arial" w:hAnsi="Arial" w:hint="default"/>
      </w:rPr>
    </w:lvl>
    <w:lvl w:ilvl="3" w:tplc="4E86C9A6" w:tentative="1">
      <w:start w:val="1"/>
      <w:numFmt w:val="bullet"/>
      <w:lvlText w:val="•"/>
      <w:lvlJc w:val="left"/>
      <w:pPr>
        <w:tabs>
          <w:tab w:val="num" w:pos="2880"/>
        </w:tabs>
        <w:ind w:left="2880" w:hanging="360"/>
      </w:pPr>
      <w:rPr>
        <w:rFonts w:ascii="Arial" w:hAnsi="Arial" w:hint="default"/>
      </w:rPr>
    </w:lvl>
    <w:lvl w:ilvl="4" w:tplc="9F063352" w:tentative="1">
      <w:start w:val="1"/>
      <w:numFmt w:val="bullet"/>
      <w:lvlText w:val="•"/>
      <w:lvlJc w:val="left"/>
      <w:pPr>
        <w:tabs>
          <w:tab w:val="num" w:pos="3600"/>
        </w:tabs>
        <w:ind w:left="3600" w:hanging="360"/>
      </w:pPr>
      <w:rPr>
        <w:rFonts w:ascii="Arial" w:hAnsi="Arial" w:hint="default"/>
      </w:rPr>
    </w:lvl>
    <w:lvl w:ilvl="5" w:tplc="5D841458" w:tentative="1">
      <w:start w:val="1"/>
      <w:numFmt w:val="bullet"/>
      <w:lvlText w:val="•"/>
      <w:lvlJc w:val="left"/>
      <w:pPr>
        <w:tabs>
          <w:tab w:val="num" w:pos="4320"/>
        </w:tabs>
        <w:ind w:left="4320" w:hanging="360"/>
      </w:pPr>
      <w:rPr>
        <w:rFonts w:ascii="Arial" w:hAnsi="Arial" w:hint="default"/>
      </w:rPr>
    </w:lvl>
    <w:lvl w:ilvl="6" w:tplc="F9B4FE9C" w:tentative="1">
      <w:start w:val="1"/>
      <w:numFmt w:val="bullet"/>
      <w:lvlText w:val="•"/>
      <w:lvlJc w:val="left"/>
      <w:pPr>
        <w:tabs>
          <w:tab w:val="num" w:pos="5040"/>
        </w:tabs>
        <w:ind w:left="5040" w:hanging="360"/>
      </w:pPr>
      <w:rPr>
        <w:rFonts w:ascii="Arial" w:hAnsi="Arial" w:hint="default"/>
      </w:rPr>
    </w:lvl>
    <w:lvl w:ilvl="7" w:tplc="3DD8DFF2" w:tentative="1">
      <w:start w:val="1"/>
      <w:numFmt w:val="bullet"/>
      <w:lvlText w:val="•"/>
      <w:lvlJc w:val="left"/>
      <w:pPr>
        <w:tabs>
          <w:tab w:val="num" w:pos="5760"/>
        </w:tabs>
        <w:ind w:left="5760" w:hanging="360"/>
      </w:pPr>
      <w:rPr>
        <w:rFonts w:ascii="Arial" w:hAnsi="Arial" w:hint="default"/>
      </w:rPr>
    </w:lvl>
    <w:lvl w:ilvl="8" w:tplc="0ACA20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6134EB"/>
    <w:multiLevelType w:val="hybridMultilevel"/>
    <w:tmpl w:val="042ED5BE"/>
    <w:lvl w:ilvl="0" w:tplc="D698129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8DCC4344">
      <w:numFmt w:val="bullet"/>
      <w:lvlText w:val=""/>
      <w:lvlJc w:val="left"/>
      <w:pPr>
        <w:ind w:left="2160" w:hanging="360"/>
      </w:pPr>
      <w:rPr>
        <w:rFonts w:ascii="Symbol" w:eastAsiaTheme="minorHAnsi"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E221A"/>
    <w:multiLevelType w:val="hybridMultilevel"/>
    <w:tmpl w:val="ECAE6CB4"/>
    <w:lvl w:ilvl="0" w:tplc="CCB61346">
      <w:start w:val="1"/>
      <w:numFmt w:val="bullet"/>
      <w:lvlText w:val=""/>
      <w:lvlJc w:val="left"/>
      <w:pPr>
        <w:tabs>
          <w:tab w:val="num" w:pos="720"/>
        </w:tabs>
        <w:ind w:left="720" w:hanging="360"/>
      </w:pPr>
      <w:rPr>
        <w:rFonts w:ascii="Wingdings" w:hAnsi="Wingdings" w:hint="default"/>
      </w:rPr>
    </w:lvl>
    <w:lvl w:ilvl="1" w:tplc="EBC22E78" w:tentative="1">
      <w:start w:val="1"/>
      <w:numFmt w:val="bullet"/>
      <w:lvlText w:val=""/>
      <w:lvlJc w:val="left"/>
      <w:pPr>
        <w:tabs>
          <w:tab w:val="num" w:pos="1440"/>
        </w:tabs>
        <w:ind w:left="1440" w:hanging="360"/>
      </w:pPr>
      <w:rPr>
        <w:rFonts w:ascii="Wingdings" w:hAnsi="Wingdings" w:hint="default"/>
      </w:rPr>
    </w:lvl>
    <w:lvl w:ilvl="2" w:tplc="19F4F472" w:tentative="1">
      <w:start w:val="1"/>
      <w:numFmt w:val="bullet"/>
      <w:lvlText w:val=""/>
      <w:lvlJc w:val="left"/>
      <w:pPr>
        <w:tabs>
          <w:tab w:val="num" w:pos="2160"/>
        </w:tabs>
        <w:ind w:left="2160" w:hanging="360"/>
      </w:pPr>
      <w:rPr>
        <w:rFonts w:ascii="Wingdings" w:hAnsi="Wingdings" w:hint="default"/>
      </w:rPr>
    </w:lvl>
    <w:lvl w:ilvl="3" w:tplc="742C2472" w:tentative="1">
      <w:start w:val="1"/>
      <w:numFmt w:val="bullet"/>
      <w:lvlText w:val=""/>
      <w:lvlJc w:val="left"/>
      <w:pPr>
        <w:tabs>
          <w:tab w:val="num" w:pos="2880"/>
        </w:tabs>
        <w:ind w:left="2880" w:hanging="360"/>
      </w:pPr>
      <w:rPr>
        <w:rFonts w:ascii="Wingdings" w:hAnsi="Wingdings" w:hint="default"/>
      </w:rPr>
    </w:lvl>
    <w:lvl w:ilvl="4" w:tplc="9F2CC41A" w:tentative="1">
      <w:start w:val="1"/>
      <w:numFmt w:val="bullet"/>
      <w:lvlText w:val=""/>
      <w:lvlJc w:val="left"/>
      <w:pPr>
        <w:tabs>
          <w:tab w:val="num" w:pos="3600"/>
        </w:tabs>
        <w:ind w:left="3600" w:hanging="360"/>
      </w:pPr>
      <w:rPr>
        <w:rFonts w:ascii="Wingdings" w:hAnsi="Wingdings" w:hint="default"/>
      </w:rPr>
    </w:lvl>
    <w:lvl w:ilvl="5" w:tplc="96EA259C" w:tentative="1">
      <w:start w:val="1"/>
      <w:numFmt w:val="bullet"/>
      <w:lvlText w:val=""/>
      <w:lvlJc w:val="left"/>
      <w:pPr>
        <w:tabs>
          <w:tab w:val="num" w:pos="4320"/>
        </w:tabs>
        <w:ind w:left="4320" w:hanging="360"/>
      </w:pPr>
      <w:rPr>
        <w:rFonts w:ascii="Wingdings" w:hAnsi="Wingdings" w:hint="default"/>
      </w:rPr>
    </w:lvl>
    <w:lvl w:ilvl="6" w:tplc="5C2451A6" w:tentative="1">
      <w:start w:val="1"/>
      <w:numFmt w:val="bullet"/>
      <w:lvlText w:val=""/>
      <w:lvlJc w:val="left"/>
      <w:pPr>
        <w:tabs>
          <w:tab w:val="num" w:pos="5040"/>
        </w:tabs>
        <w:ind w:left="5040" w:hanging="360"/>
      </w:pPr>
      <w:rPr>
        <w:rFonts w:ascii="Wingdings" w:hAnsi="Wingdings" w:hint="default"/>
      </w:rPr>
    </w:lvl>
    <w:lvl w:ilvl="7" w:tplc="E64CAA30" w:tentative="1">
      <w:start w:val="1"/>
      <w:numFmt w:val="bullet"/>
      <w:lvlText w:val=""/>
      <w:lvlJc w:val="left"/>
      <w:pPr>
        <w:tabs>
          <w:tab w:val="num" w:pos="5760"/>
        </w:tabs>
        <w:ind w:left="5760" w:hanging="360"/>
      </w:pPr>
      <w:rPr>
        <w:rFonts w:ascii="Wingdings" w:hAnsi="Wingdings" w:hint="default"/>
      </w:rPr>
    </w:lvl>
    <w:lvl w:ilvl="8" w:tplc="821024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81BCA"/>
    <w:multiLevelType w:val="hybridMultilevel"/>
    <w:tmpl w:val="7DEC440C"/>
    <w:lvl w:ilvl="0" w:tplc="D698129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51BB4"/>
    <w:multiLevelType w:val="hybridMultilevel"/>
    <w:tmpl w:val="F9E8C27C"/>
    <w:lvl w:ilvl="0" w:tplc="89A64792">
      <w:start w:val="1"/>
      <w:numFmt w:val="bullet"/>
      <w:lvlText w:val=""/>
      <w:lvlJc w:val="left"/>
      <w:pPr>
        <w:tabs>
          <w:tab w:val="num" w:pos="720"/>
        </w:tabs>
        <w:ind w:left="720" w:hanging="360"/>
      </w:pPr>
      <w:rPr>
        <w:rFonts w:ascii="Wingdings" w:hAnsi="Wingdings" w:hint="default"/>
      </w:rPr>
    </w:lvl>
    <w:lvl w:ilvl="1" w:tplc="276485B0" w:tentative="1">
      <w:start w:val="1"/>
      <w:numFmt w:val="bullet"/>
      <w:lvlText w:val=""/>
      <w:lvlJc w:val="left"/>
      <w:pPr>
        <w:tabs>
          <w:tab w:val="num" w:pos="1440"/>
        </w:tabs>
        <w:ind w:left="1440" w:hanging="360"/>
      </w:pPr>
      <w:rPr>
        <w:rFonts w:ascii="Wingdings" w:hAnsi="Wingdings" w:hint="default"/>
      </w:rPr>
    </w:lvl>
    <w:lvl w:ilvl="2" w:tplc="58F054FC" w:tentative="1">
      <w:start w:val="1"/>
      <w:numFmt w:val="bullet"/>
      <w:lvlText w:val=""/>
      <w:lvlJc w:val="left"/>
      <w:pPr>
        <w:tabs>
          <w:tab w:val="num" w:pos="2160"/>
        </w:tabs>
        <w:ind w:left="2160" w:hanging="360"/>
      </w:pPr>
      <w:rPr>
        <w:rFonts w:ascii="Wingdings" w:hAnsi="Wingdings" w:hint="default"/>
      </w:rPr>
    </w:lvl>
    <w:lvl w:ilvl="3" w:tplc="CAAEFC20" w:tentative="1">
      <w:start w:val="1"/>
      <w:numFmt w:val="bullet"/>
      <w:lvlText w:val=""/>
      <w:lvlJc w:val="left"/>
      <w:pPr>
        <w:tabs>
          <w:tab w:val="num" w:pos="2880"/>
        </w:tabs>
        <w:ind w:left="2880" w:hanging="360"/>
      </w:pPr>
      <w:rPr>
        <w:rFonts w:ascii="Wingdings" w:hAnsi="Wingdings" w:hint="default"/>
      </w:rPr>
    </w:lvl>
    <w:lvl w:ilvl="4" w:tplc="25B4D052" w:tentative="1">
      <w:start w:val="1"/>
      <w:numFmt w:val="bullet"/>
      <w:lvlText w:val=""/>
      <w:lvlJc w:val="left"/>
      <w:pPr>
        <w:tabs>
          <w:tab w:val="num" w:pos="3600"/>
        </w:tabs>
        <w:ind w:left="3600" w:hanging="360"/>
      </w:pPr>
      <w:rPr>
        <w:rFonts w:ascii="Wingdings" w:hAnsi="Wingdings" w:hint="default"/>
      </w:rPr>
    </w:lvl>
    <w:lvl w:ilvl="5" w:tplc="5CA0F018" w:tentative="1">
      <w:start w:val="1"/>
      <w:numFmt w:val="bullet"/>
      <w:lvlText w:val=""/>
      <w:lvlJc w:val="left"/>
      <w:pPr>
        <w:tabs>
          <w:tab w:val="num" w:pos="4320"/>
        </w:tabs>
        <w:ind w:left="4320" w:hanging="360"/>
      </w:pPr>
      <w:rPr>
        <w:rFonts w:ascii="Wingdings" w:hAnsi="Wingdings" w:hint="default"/>
      </w:rPr>
    </w:lvl>
    <w:lvl w:ilvl="6" w:tplc="685055B0" w:tentative="1">
      <w:start w:val="1"/>
      <w:numFmt w:val="bullet"/>
      <w:lvlText w:val=""/>
      <w:lvlJc w:val="left"/>
      <w:pPr>
        <w:tabs>
          <w:tab w:val="num" w:pos="5040"/>
        </w:tabs>
        <w:ind w:left="5040" w:hanging="360"/>
      </w:pPr>
      <w:rPr>
        <w:rFonts w:ascii="Wingdings" w:hAnsi="Wingdings" w:hint="default"/>
      </w:rPr>
    </w:lvl>
    <w:lvl w:ilvl="7" w:tplc="A4168888" w:tentative="1">
      <w:start w:val="1"/>
      <w:numFmt w:val="bullet"/>
      <w:lvlText w:val=""/>
      <w:lvlJc w:val="left"/>
      <w:pPr>
        <w:tabs>
          <w:tab w:val="num" w:pos="5760"/>
        </w:tabs>
        <w:ind w:left="5760" w:hanging="360"/>
      </w:pPr>
      <w:rPr>
        <w:rFonts w:ascii="Wingdings" w:hAnsi="Wingdings" w:hint="default"/>
      </w:rPr>
    </w:lvl>
    <w:lvl w:ilvl="8" w:tplc="2B944E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4C1BB9"/>
    <w:multiLevelType w:val="hybridMultilevel"/>
    <w:tmpl w:val="7FAEC0F6"/>
    <w:lvl w:ilvl="0" w:tplc="4E486E7C">
      <w:start w:val="1"/>
      <w:numFmt w:val="bullet"/>
      <w:lvlText w:val="•"/>
      <w:lvlJc w:val="left"/>
      <w:pPr>
        <w:tabs>
          <w:tab w:val="num" w:pos="720"/>
        </w:tabs>
        <w:ind w:left="720" w:hanging="360"/>
      </w:pPr>
      <w:rPr>
        <w:rFonts w:ascii="Arial" w:hAnsi="Arial" w:hint="default"/>
      </w:rPr>
    </w:lvl>
    <w:lvl w:ilvl="1" w:tplc="1B04D0C8">
      <w:numFmt w:val="bullet"/>
      <w:lvlText w:val="•"/>
      <w:lvlJc w:val="left"/>
      <w:pPr>
        <w:tabs>
          <w:tab w:val="num" w:pos="1440"/>
        </w:tabs>
        <w:ind w:left="1440" w:hanging="360"/>
      </w:pPr>
      <w:rPr>
        <w:rFonts w:ascii="Arial" w:hAnsi="Arial" w:hint="default"/>
      </w:rPr>
    </w:lvl>
    <w:lvl w:ilvl="2" w:tplc="00A40980" w:tentative="1">
      <w:start w:val="1"/>
      <w:numFmt w:val="bullet"/>
      <w:lvlText w:val="•"/>
      <w:lvlJc w:val="left"/>
      <w:pPr>
        <w:tabs>
          <w:tab w:val="num" w:pos="2160"/>
        </w:tabs>
        <w:ind w:left="2160" w:hanging="360"/>
      </w:pPr>
      <w:rPr>
        <w:rFonts w:ascii="Arial" w:hAnsi="Arial" w:hint="default"/>
      </w:rPr>
    </w:lvl>
    <w:lvl w:ilvl="3" w:tplc="B1EEABBC" w:tentative="1">
      <w:start w:val="1"/>
      <w:numFmt w:val="bullet"/>
      <w:lvlText w:val="•"/>
      <w:lvlJc w:val="left"/>
      <w:pPr>
        <w:tabs>
          <w:tab w:val="num" w:pos="2880"/>
        </w:tabs>
        <w:ind w:left="2880" w:hanging="360"/>
      </w:pPr>
      <w:rPr>
        <w:rFonts w:ascii="Arial" w:hAnsi="Arial" w:hint="default"/>
      </w:rPr>
    </w:lvl>
    <w:lvl w:ilvl="4" w:tplc="C7F227CA" w:tentative="1">
      <w:start w:val="1"/>
      <w:numFmt w:val="bullet"/>
      <w:lvlText w:val="•"/>
      <w:lvlJc w:val="left"/>
      <w:pPr>
        <w:tabs>
          <w:tab w:val="num" w:pos="3600"/>
        </w:tabs>
        <w:ind w:left="3600" w:hanging="360"/>
      </w:pPr>
      <w:rPr>
        <w:rFonts w:ascii="Arial" w:hAnsi="Arial" w:hint="default"/>
      </w:rPr>
    </w:lvl>
    <w:lvl w:ilvl="5" w:tplc="CF00B168" w:tentative="1">
      <w:start w:val="1"/>
      <w:numFmt w:val="bullet"/>
      <w:lvlText w:val="•"/>
      <w:lvlJc w:val="left"/>
      <w:pPr>
        <w:tabs>
          <w:tab w:val="num" w:pos="4320"/>
        </w:tabs>
        <w:ind w:left="4320" w:hanging="360"/>
      </w:pPr>
      <w:rPr>
        <w:rFonts w:ascii="Arial" w:hAnsi="Arial" w:hint="default"/>
      </w:rPr>
    </w:lvl>
    <w:lvl w:ilvl="6" w:tplc="93968BE2" w:tentative="1">
      <w:start w:val="1"/>
      <w:numFmt w:val="bullet"/>
      <w:lvlText w:val="•"/>
      <w:lvlJc w:val="left"/>
      <w:pPr>
        <w:tabs>
          <w:tab w:val="num" w:pos="5040"/>
        </w:tabs>
        <w:ind w:left="5040" w:hanging="360"/>
      </w:pPr>
      <w:rPr>
        <w:rFonts w:ascii="Arial" w:hAnsi="Arial" w:hint="default"/>
      </w:rPr>
    </w:lvl>
    <w:lvl w:ilvl="7" w:tplc="D76E2458" w:tentative="1">
      <w:start w:val="1"/>
      <w:numFmt w:val="bullet"/>
      <w:lvlText w:val="•"/>
      <w:lvlJc w:val="left"/>
      <w:pPr>
        <w:tabs>
          <w:tab w:val="num" w:pos="5760"/>
        </w:tabs>
        <w:ind w:left="5760" w:hanging="360"/>
      </w:pPr>
      <w:rPr>
        <w:rFonts w:ascii="Arial" w:hAnsi="Arial" w:hint="default"/>
      </w:rPr>
    </w:lvl>
    <w:lvl w:ilvl="8" w:tplc="AC7ED9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9C6FDC"/>
    <w:multiLevelType w:val="hybridMultilevel"/>
    <w:tmpl w:val="1B365DE0"/>
    <w:lvl w:ilvl="0" w:tplc="B2EA2D80">
      <w:start w:val="1"/>
      <w:numFmt w:val="bullet"/>
      <w:lvlText w:val="•"/>
      <w:lvlJc w:val="left"/>
      <w:pPr>
        <w:tabs>
          <w:tab w:val="num" w:pos="720"/>
        </w:tabs>
        <w:ind w:left="720" w:hanging="360"/>
      </w:pPr>
      <w:rPr>
        <w:rFonts w:ascii="Arial" w:hAnsi="Arial" w:hint="default"/>
      </w:rPr>
    </w:lvl>
    <w:lvl w:ilvl="1" w:tplc="DF80D37E">
      <w:numFmt w:val="bullet"/>
      <w:lvlText w:val="•"/>
      <w:lvlJc w:val="left"/>
      <w:pPr>
        <w:tabs>
          <w:tab w:val="num" w:pos="1440"/>
        </w:tabs>
        <w:ind w:left="1440" w:hanging="360"/>
      </w:pPr>
      <w:rPr>
        <w:rFonts w:ascii="Arial" w:hAnsi="Arial" w:hint="default"/>
      </w:rPr>
    </w:lvl>
    <w:lvl w:ilvl="2" w:tplc="1C3EE77E">
      <w:numFmt w:val="bullet"/>
      <w:lvlText w:val="•"/>
      <w:lvlJc w:val="left"/>
      <w:pPr>
        <w:tabs>
          <w:tab w:val="num" w:pos="2160"/>
        </w:tabs>
        <w:ind w:left="2160" w:hanging="360"/>
      </w:pPr>
      <w:rPr>
        <w:rFonts w:ascii="Arial" w:hAnsi="Arial" w:hint="default"/>
      </w:rPr>
    </w:lvl>
    <w:lvl w:ilvl="3" w:tplc="82E039C2" w:tentative="1">
      <w:start w:val="1"/>
      <w:numFmt w:val="bullet"/>
      <w:lvlText w:val="•"/>
      <w:lvlJc w:val="left"/>
      <w:pPr>
        <w:tabs>
          <w:tab w:val="num" w:pos="2880"/>
        </w:tabs>
        <w:ind w:left="2880" w:hanging="360"/>
      </w:pPr>
      <w:rPr>
        <w:rFonts w:ascii="Arial" w:hAnsi="Arial" w:hint="default"/>
      </w:rPr>
    </w:lvl>
    <w:lvl w:ilvl="4" w:tplc="5504DCB6" w:tentative="1">
      <w:start w:val="1"/>
      <w:numFmt w:val="bullet"/>
      <w:lvlText w:val="•"/>
      <w:lvlJc w:val="left"/>
      <w:pPr>
        <w:tabs>
          <w:tab w:val="num" w:pos="3600"/>
        </w:tabs>
        <w:ind w:left="3600" w:hanging="360"/>
      </w:pPr>
      <w:rPr>
        <w:rFonts w:ascii="Arial" w:hAnsi="Arial" w:hint="default"/>
      </w:rPr>
    </w:lvl>
    <w:lvl w:ilvl="5" w:tplc="ADA2C72A" w:tentative="1">
      <w:start w:val="1"/>
      <w:numFmt w:val="bullet"/>
      <w:lvlText w:val="•"/>
      <w:lvlJc w:val="left"/>
      <w:pPr>
        <w:tabs>
          <w:tab w:val="num" w:pos="4320"/>
        </w:tabs>
        <w:ind w:left="4320" w:hanging="360"/>
      </w:pPr>
      <w:rPr>
        <w:rFonts w:ascii="Arial" w:hAnsi="Arial" w:hint="default"/>
      </w:rPr>
    </w:lvl>
    <w:lvl w:ilvl="6" w:tplc="16FAFA66" w:tentative="1">
      <w:start w:val="1"/>
      <w:numFmt w:val="bullet"/>
      <w:lvlText w:val="•"/>
      <w:lvlJc w:val="left"/>
      <w:pPr>
        <w:tabs>
          <w:tab w:val="num" w:pos="5040"/>
        </w:tabs>
        <w:ind w:left="5040" w:hanging="360"/>
      </w:pPr>
      <w:rPr>
        <w:rFonts w:ascii="Arial" w:hAnsi="Arial" w:hint="default"/>
      </w:rPr>
    </w:lvl>
    <w:lvl w:ilvl="7" w:tplc="E82EA904" w:tentative="1">
      <w:start w:val="1"/>
      <w:numFmt w:val="bullet"/>
      <w:lvlText w:val="•"/>
      <w:lvlJc w:val="left"/>
      <w:pPr>
        <w:tabs>
          <w:tab w:val="num" w:pos="5760"/>
        </w:tabs>
        <w:ind w:left="5760" w:hanging="360"/>
      </w:pPr>
      <w:rPr>
        <w:rFonts w:ascii="Arial" w:hAnsi="Arial" w:hint="default"/>
      </w:rPr>
    </w:lvl>
    <w:lvl w:ilvl="8" w:tplc="69BA6A7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48"/>
    <w:rsid w:val="00024919"/>
    <w:rsid w:val="00043DA2"/>
    <w:rsid w:val="0009673C"/>
    <w:rsid w:val="0013471C"/>
    <w:rsid w:val="00143D11"/>
    <w:rsid w:val="00176DD6"/>
    <w:rsid w:val="00223934"/>
    <w:rsid w:val="00243A07"/>
    <w:rsid w:val="00250748"/>
    <w:rsid w:val="002C3E89"/>
    <w:rsid w:val="002E0C80"/>
    <w:rsid w:val="0031506B"/>
    <w:rsid w:val="0036427E"/>
    <w:rsid w:val="003C18AB"/>
    <w:rsid w:val="003C6AE3"/>
    <w:rsid w:val="003D4E12"/>
    <w:rsid w:val="004022EB"/>
    <w:rsid w:val="00426786"/>
    <w:rsid w:val="004D2BB4"/>
    <w:rsid w:val="00580386"/>
    <w:rsid w:val="0058292D"/>
    <w:rsid w:val="00632B47"/>
    <w:rsid w:val="0064606B"/>
    <w:rsid w:val="00691103"/>
    <w:rsid w:val="006B3478"/>
    <w:rsid w:val="006F20F0"/>
    <w:rsid w:val="00734591"/>
    <w:rsid w:val="00755B2B"/>
    <w:rsid w:val="00776301"/>
    <w:rsid w:val="007A047F"/>
    <w:rsid w:val="007B6D7A"/>
    <w:rsid w:val="00831C41"/>
    <w:rsid w:val="008F7782"/>
    <w:rsid w:val="009161E1"/>
    <w:rsid w:val="00953429"/>
    <w:rsid w:val="00963480"/>
    <w:rsid w:val="00965524"/>
    <w:rsid w:val="009A58C7"/>
    <w:rsid w:val="009A651C"/>
    <w:rsid w:val="009F33BF"/>
    <w:rsid w:val="00A17BD9"/>
    <w:rsid w:val="00A302F2"/>
    <w:rsid w:val="00A463D4"/>
    <w:rsid w:val="00A6598E"/>
    <w:rsid w:val="00AF662B"/>
    <w:rsid w:val="00B26F4B"/>
    <w:rsid w:val="00B81484"/>
    <w:rsid w:val="00C63900"/>
    <w:rsid w:val="00CD192B"/>
    <w:rsid w:val="00CF29BA"/>
    <w:rsid w:val="00CF6BFA"/>
    <w:rsid w:val="00E550E1"/>
    <w:rsid w:val="00E7162A"/>
    <w:rsid w:val="00E753D9"/>
    <w:rsid w:val="00E81739"/>
    <w:rsid w:val="00E857C1"/>
    <w:rsid w:val="00EC2B32"/>
    <w:rsid w:val="00F3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29F0A-3547-4B57-AFF0-8B89EB68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55715">
      <w:bodyDiv w:val="1"/>
      <w:marLeft w:val="0"/>
      <w:marRight w:val="0"/>
      <w:marTop w:val="0"/>
      <w:marBottom w:val="0"/>
      <w:divBdr>
        <w:top w:val="none" w:sz="0" w:space="0" w:color="auto"/>
        <w:left w:val="none" w:sz="0" w:space="0" w:color="auto"/>
        <w:bottom w:val="none" w:sz="0" w:space="0" w:color="auto"/>
        <w:right w:val="none" w:sz="0" w:space="0" w:color="auto"/>
      </w:divBdr>
      <w:divsChild>
        <w:div w:id="270823770">
          <w:marLeft w:val="360"/>
          <w:marRight w:val="0"/>
          <w:marTop w:val="0"/>
          <w:marBottom w:val="120"/>
          <w:divBdr>
            <w:top w:val="none" w:sz="0" w:space="0" w:color="auto"/>
            <w:left w:val="none" w:sz="0" w:space="0" w:color="auto"/>
            <w:bottom w:val="none" w:sz="0" w:space="0" w:color="auto"/>
            <w:right w:val="none" w:sz="0" w:space="0" w:color="auto"/>
          </w:divBdr>
        </w:div>
      </w:divsChild>
    </w:div>
    <w:div w:id="1441342607">
      <w:bodyDiv w:val="1"/>
      <w:marLeft w:val="0"/>
      <w:marRight w:val="0"/>
      <w:marTop w:val="0"/>
      <w:marBottom w:val="0"/>
      <w:divBdr>
        <w:top w:val="none" w:sz="0" w:space="0" w:color="auto"/>
        <w:left w:val="none" w:sz="0" w:space="0" w:color="auto"/>
        <w:bottom w:val="none" w:sz="0" w:space="0" w:color="auto"/>
        <w:right w:val="none" w:sz="0" w:space="0" w:color="auto"/>
      </w:divBdr>
      <w:divsChild>
        <w:div w:id="906574627">
          <w:marLeft w:val="360"/>
          <w:marRight w:val="0"/>
          <w:marTop w:val="0"/>
          <w:marBottom w:val="120"/>
          <w:divBdr>
            <w:top w:val="none" w:sz="0" w:space="0" w:color="auto"/>
            <w:left w:val="none" w:sz="0" w:space="0" w:color="auto"/>
            <w:bottom w:val="none" w:sz="0" w:space="0" w:color="auto"/>
            <w:right w:val="none" w:sz="0" w:space="0" w:color="auto"/>
          </w:divBdr>
        </w:div>
        <w:div w:id="1774474880">
          <w:marLeft w:val="360"/>
          <w:marRight w:val="0"/>
          <w:marTop w:val="0"/>
          <w:marBottom w:val="120"/>
          <w:divBdr>
            <w:top w:val="none" w:sz="0" w:space="0" w:color="auto"/>
            <w:left w:val="none" w:sz="0" w:space="0" w:color="auto"/>
            <w:bottom w:val="none" w:sz="0" w:space="0" w:color="auto"/>
            <w:right w:val="none" w:sz="0" w:space="0" w:color="auto"/>
          </w:divBdr>
        </w:div>
        <w:div w:id="1375806756">
          <w:marLeft w:val="360"/>
          <w:marRight w:val="0"/>
          <w:marTop w:val="0"/>
          <w:marBottom w:val="120"/>
          <w:divBdr>
            <w:top w:val="none" w:sz="0" w:space="0" w:color="auto"/>
            <w:left w:val="none" w:sz="0" w:space="0" w:color="auto"/>
            <w:bottom w:val="none" w:sz="0" w:space="0" w:color="auto"/>
            <w:right w:val="none" w:sz="0" w:space="0" w:color="auto"/>
          </w:divBdr>
        </w:div>
        <w:div w:id="1688479505">
          <w:marLeft w:val="360"/>
          <w:marRight w:val="0"/>
          <w:marTop w:val="0"/>
          <w:marBottom w:val="120"/>
          <w:divBdr>
            <w:top w:val="none" w:sz="0" w:space="0" w:color="auto"/>
            <w:left w:val="none" w:sz="0" w:space="0" w:color="auto"/>
            <w:bottom w:val="none" w:sz="0" w:space="0" w:color="auto"/>
            <w:right w:val="none" w:sz="0" w:space="0" w:color="auto"/>
          </w:divBdr>
        </w:div>
      </w:divsChild>
    </w:div>
    <w:div w:id="1495149964">
      <w:bodyDiv w:val="1"/>
      <w:marLeft w:val="0"/>
      <w:marRight w:val="0"/>
      <w:marTop w:val="0"/>
      <w:marBottom w:val="0"/>
      <w:divBdr>
        <w:top w:val="none" w:sz="0" w:space="0" w:color="auto"/>
        <w:left w:val="none" w:sz="0" w:space="0" w:color="auto"/>
        <w:bottom w:val="none" w:sz="0" w:space="0" w:color="auto"/>
        <w:right w:val="none" w:sz="0" w:space="0" w:color="auto"/>
      </w:divBdr>
      <w:divsChild>
        <w:div w:id="37628029">
          <w:marLeft w:val="360"/>
          <w:marRight w:val="0"/>
          <w:marTop w:val="0"/>
          <w:marBottom w:val="120"/>
          <w:divBdr>
            <w:top w:val="none" w:sz="0" w:space="0" w:color="auto"/>
            <w:left w:val="none" w:sz="0" w:space="0" w:color="auto"/>
            <w:bottom w:val="none" w:sz="0" w:space="0" w:color="auto"/>
            <w:right w:val="none" w:sz="0" w:space="0" w:color="auto"/>
          </w:divBdr>
        </w:div>
      </w:divsChild>
    </w:div>
    <w:div w:id="1612933379">
      <w:bodyDiv w:val="1"/>
      <w:marLeft w:val="0"/>
      <w:marRight w:val="0"/>
      <w:marTop w:val="0"/>
      <w:marBottom w:val="0"/>
      <w:divBdr>
        <w:top w:val="none" w:sz="0" w:space="0" w:color="auto"/>
        <w:left w:val="none" w:sz="0" w:space="0" w:color="auto"/>
        <w:bottom w:val="none" w:sz="0" w:space="0" w:color="auto"/>
        <w:right w:val="none" w:sz="0" w:space="0" w:color="auto"/>
      </w:divBdr>
      <w:divsChild>
        <w:div w:id="1423717039">
          <w:marLeft w:val="360"/>
          <w:marRight w:val="0"/>
          <w:marTop w:val="200"/>
          <w:marBottom w:val="0"/>
          <w:divBdr>
            <w:top w:val="none" w:sz="0" w:space="0" w:color="auto"/>
            <w:left w:val="none" w:sz="0" w:space="0" w:color="auto"/>
            <w:bottom w:val="none" w:sz="0" w:space="0" w:color="auto"/>
            <w:right w:val="none" w:sz="0" w:space="0" w:color="auto"/>
          </w:divBdr>
        </w:div>
        <w:div w:id="1693918951">
          <w:marLeft w:val="1080"/>
          <w:marRight w:val="0"/>
          <w:marTop w:val="100"/>
          <w:marBottom w:val="0"/>
          <w:divBdr>
            <w:top w:val="none" w:sz="0" w:space="0" w:color="auto"/>
            <w:left w:val="none" w:sz="0" w:space="0" w:color="auto"/>
            <w:bottom w:val="none" w:sz="0" w:space="0" w:color="auto"/>
            <w:right w:val="none" w:sz="0" w:space="0" w:color="auto"/>
          </w:divBdr>
        </w:div>
        <w:div w:id="725959551">
          <w:marLeft w:val="1080"/>
          <w:marRight w:val="0"/>
          <w:marTop w:val="100"/>
          <w:marBottom w:val="0"/>
          <w:divBdr>
            <w:top w:val="none" w:sz="0" w:space="0" w:color="auto"/>
            <w:left w:val="none" w:sz="0" w:space="0" w:color="auto"/>
            <w:bottom w:val="none" w:sz="0" w:space="0" w:color="auto"/>
            <w:right w:val="none" w:sz="0" w:space="0" w:color="auto"/>
          </w:divBdr>
        </w:div>
        <w:div w:id="321743547">
          <w:marLeft w:val="1800"/>
          <w:marRight w:val="0"/>
          <w:marTop w:val="100"/>
          <w:marBottom w:val="0"/>
          <w:divBdr>
            <w:top w:val="none" w:sz="0" w:space="0" w:color="auto"/>
            <w:left w:val="none" w:sz="0" w:space="0" w:color="auto"/>
            <w:bottom w:val="none" w:sz="0" w:space="0" w:color="auto"/>
            <w:right w:val="none" w:sz="0" w:space="0" w:color="auto"/>
          </w:divBdr>
        </w:div>
        <w:div w:id="1982222066">
          <w:marLeft w:val="1800"/>
          <w:marRight w:val="0"/>
          <w:marTop w:val="100"/>
          <w:marBottom w:val="0"/>
          <w:divBdr>
            <w:top w:val="none" w:sz="0" w:space="0" w:color="auto"/>
            <w:left w:val="none" w:sz="0" w:space="0" w:color="auto"/>
            <w:bottom w:val="none" w:sz="0" w:space="0" w:color="auto"/>
            <w:right w:val="none" w:sz="0" w:space="0" w:color="auto"/>
          </w:divBdr>
        </w:div>
        <w:div w:id="2094273813">
          <w:marLeft w:val="1800"/>
          <w:marRight w:val="0"/>
          <w:marTop w:val="100"/>
          <w:marBottom w:val="0"/>
          <w:divBdr>
            <w:top w:val="none" w:sz="0" w:space="0" w:color="auto"/>
            <w:left w:val="none" w:sz="0" w:space="0" w:color="auto"/>
            <w:bottom w:val="none" w:sz="0" w:space="0" w:color="auto"/>
            <w:right w:val="none" w:sz="0" w:space="0" w:color="auto"/>
          </w:divBdr>
        </w:div>
      </w:divsChild>
    </w:div>
    <w:div w:id="1870603575">
      <w:bodyDiv w:val="1"/>
      <w:marLeft w:val="0"/>
      <w:marRight w:val="0"/>
      <w:marTop w:val="0"/>
      <w:marBottom w:val="0"/>
      <w:divBdr>
        <w:top w:val="none" w:sz="0" w:space="0" w:color="auto"/>
        <w:left w:val="none" w:sz="0" w:space="0" w:color="auto"/>
        <w:bottom w:val="none" w:sz="0" w:space="0" w:color="auto"/>
        <w:right w:val="none" w:sz="0" w:space="0" w:color="auto"/>
      </w:divBdr>
      <w:divsChild>
        <w:div w:id="1666125085">
          <w:marLeft w:val="360"/>
          <w:marRight w:val="0"/>
          <w:marTop w:val="200"/>
          <w:marBottom w:val="0"/>
          <w:divBdr>
            <w:top w:val="none" w:sz="0" w:space="0" w:color="auto"/>
            <w:left w:val="none" w:sz="0" w:space="0" w:color="auto"/>
            <w:bottom w:val="none" w:sz="0" w:space="0" w:color="auto"/>
            <w:right w:val="none" w:sz="0" w:space="0" w:color="auto"/>
          </w:divBdr>
        </w:div>
        <w:div w:id="541137964">
          <w:marLeft w:val="1080"/>
          <w:marRight w:val="0"/>
          <w:marTop w:val="100"/>
          <w:marBottom w:val="0"/>
          <w:divBdr>
            <w:top w:val="none" w:sz="0" w:space="0" w:color="auto"/>
            <w:left w:val="none" w:sz="0" w:space="0" w:color="auto"/>
            <w:bottom w:val="none" w:sz="0" w:space="0" w:color="auto"/>
            <w:right w:val="none" w:sz="0" w:space="0" w:color="auto"/>
          </w:divBdr>
        </w:div>
        <w:div w:id="1499998818">
          <w:marLeft w:val="1080"/>
          <w:marRight w:val="0"/>
          <w:marTop w:val="100"/>
          <w:marBottom w:val="0"/>
          <w:divBdr>
            <w:top w:val="none" w:sz="0" w:space="0" w:color="auto"/>
            <w:left w:val="none" w:sz="0" w:space="0" w:color="auto"/>
            <w:bottom w:val="none" w:sz="0" w:space="0" w:color="auto"/>
            <w:right w:val="none" w:sz="0" w:space="0" w:color="auto"/>
          </w:divBdr>
        </w:div>
        <w:div w:id="765274095">
          <w:marLeft w:val="1080"/>
          <w:marRight w:val="0"/>
          <w:marTop w:val="100"/>
          <w:marBottom w:val="0"/>
          <w:divBdr>
            <w:top w:val="none" w:sz="0" w:space="0" w:color="auto"/>
            <w:left w:val="none" w:sz="0" w:space="0" w:color="auto"/>
            <w:bottom w:val="none" w:sz="0" w:space="0" w:color="auto"/>
            <w:right w:val="none" w:sz="0" w:space="0" w:color="auto"/>
          </w:divBdr>
        </w:div>
        <w:div w:id="629478847">
          <w:marLeft w:val="1080"/>
          <w:marRight w:val="0"/>
          <w:marTop w:val="100"/>
          <w:marBottom w:val="0"/>
          <w:divBdr>
            <w:top w:val="none" w:sz="0" w:space="0" w:color="auto"/>
            <w:left w:val="none" w:sz="0" w:space="0" w:color="auto"/>
            <w:bottom w:val="none" w:sz="0" w:space="0" w:color="auto"/>
            <w:right w:val="none" w:sz="0" w:space="0" w:color="auto"/>
          </w:divBdr>
        </w:div>
        <w:div w:id="1885167421">
          <w:marLeft w:val="360"/>
          <w:marRight w:val="0"/>
          <w:marTop w:val="200"/>
          <w:marBottom w:val="0"/>
          <w:divBdr>
            <w:top w:val="none" w:sz="0" w:space="0" w:color="auto"/>
            <w:left w:val="none" w:sz="0" w:space="0" w:color="auto"/>
            <w:bottom w:val="none" w:sz="0" w:space="0" w:color="auto"/>
            <w:right w:val="none" w:sz="0" w:space="0" w:color="auto"/>
          </w:divBdr>
        </w:div>
        <w:div w:id="1380127618">
          <w:marLeft w:val="360"/>
          <w:marRight w:val="0"/>
          <w:marTop w:val="200"/>
          <w:marBottom w:val="0"/>
          <w:divBdr>
            <w:top w:val="none" w:sz="0" w:space="0" w:color="auto"/>
            <w:left w:val="none" w:sz="0" w:space="0" w:color="auto"/>
            <w:bottom w:val="none" w:sz="0" w:space="0" w:color="auto"/>
            <w:right w:val="none" w:sz="0" w:space="0" w:color="auto"/>
          </w:divBdr>
        </w:div>
        <w:div w:id="1201556288">
          <w:marLeft w:val="360"/>
          <w:marRight w:val="0"/>
          <w:marTop w:val="200"/>
          <w:marBottom w:val="0"/>
          <w:divBdr>
            <w:top w:val="none" w:sz="0" w:space="0" w:color="auto"/>
            <w:left w:val="none" w:sz="0" w:space="0" w:color="auto"/>
            <w:bottom w:val="none" w:sz="0" w:space="0" w:color="auto"/>
            <w:right w:val="none" w:sz="0" w:space="0" w:color="auto"/>
          </w:divBdr>
        </w:div>
      </w:divsChild>
    </w:div>
    <w:div w:id="2138254998">
      <w:bodyDiv w:val="1"/>
      <w:marLeft w:val="0"/>
      <w:marRight w:val="0"/>
      <w:marTop w:val="0"/>
      <w:marBottom w:val="0"/>
      <w:divBdr>
        <w:top w:val="none" w:sz="0" w:space="0" w:color="auto"/>
        <w:left w:val="none" w:sz="0" w:space="0" w:color="auto"/>
        <w:bottom w:val="none" w:sz="0" w:space="0" w:color="auto"/>
        <w:right w:val="none" w:sz="0" w:space="0" w:color="auto"/>
      </w:divBdr>
      <w:divsChild>
        <w:div w:id="1227180398">
          <w:marLeft w:val="360"/>
          <w:marRight w:val="0"/>
          <w:marTop w:val="200"/>
          <w:marBottom w:val="0"/>
          <w:divBdr>
            <w:top w:val="none" w:sz="0" w:space="0" w:color="auto"/>
            <w:left w:val="none" w:sz="0" w:space="0" w:color="auto"/>
            <w:bottom w:val="none" w:sz="0" w:space="0" w:color="auto"/>
            <w:right w:val="none" w:sz="0" w:space="0" w:color="auto"/>
          </w:divBdr>
        </w:div>
        <w:div w:id="1305506667">
          <w:marLeft w:val="1080"/>
          <w:marRight w:val="0"/>
          <w:marTop w:val="100"/>
          <w:marBottom w:val="0"/>
          <w:divBdr>
            <w:top w:val="none" w:sz="0" w:space="0" w:color="auto"/>
            <w:left w:val="none" w:sz="0" w:space="0" w:color="auto"/>
            <w:bottom w:val="none" w:sz="0" w:space="0" w:color="auto"/>
            <w:right w:val="none" w:sz="0" w:space="0" w:color="auto"/>
          </w:divBdr>
        </w:div>
        <w:div w:id="380250694">
          <w:marLeft w:val="1080"/>
          <w:marRight w:val="0"/>
          <w:marTop w:val="100"/>
          <w:marBottom w:val="0"/>
          <w:divBdr>
            <w:top w:val="none" w:sz="0" w:space="0" w:color="auto"/>
            <w:left w:val="none" w:sz="0" w:space="0" w:color="auto"/>
            <w:bottom w:val="none" w:sz="0" w:space="0" w:color="auto"/>
            <w:right w:val="none" w:sz="0" w:space="0" w:color="auto"/>
          </w:divBdr>
        </w:div>
        <w:div w:id="203256414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Shahriar (DPS)</dc:creator>
  <cp:keywords/>
  <dc:description/>
  <cp:lastModifiedBy>Pause, Jason (DPS)</cp:lastModifiedBy>
  <cp:revision>2</cp:revision>
  <dcterms:created xsi:type="dcterms:W3CDTF">2018-09-11T14:45:00Z</dcterms:created>
  <dcterms:modified xsi:type="dcterms:W3CDTF">2018-09-11T14:45:00Z</dcterms:modified>
</cp:coreProperties>
</file>