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27E" w:rsidRPr="00EB7D0E" w:rsidRDefault="00CB02F8">
      <w:pPr>
        <w:rPr>
          <w:b/>
        </w:rPr>
      </w:pPr>
      <w:r>
        <w:rPr>
          <w:b/>
        </w:rPr>
        <w:t>5/10/18 - ITWG - NYSERDA</w:t>
      </w:r>
    </w:p>
    <w:p w:rsidR="00EB7D0E" w:rsidRDefault="00E54E85">
      <w:pPr>
        <w:rPr>
          <w:b/>
        </w:rPr>
      </w:pPr>
      <w:r w:rsidRPr="00E54E85">
        <w:rPr>
          <w:b/>
        </w:rPr>
        <w:t>CESIR Standardization</w:t>
      </w:r>
    </w:p>
    <w:p w:rsidR="00E54E85" w:rsidRDefault="001375E2">
      <w:r w:rsidRPr="001375E2">
        <w:t>Solar Industry (Br</w:t>
      </w:r>
      <w:r w:rsidR="00CB02F8">
        <w:t>ic</w:t>
      </w:r>
      <w:r w:rsidRPr="001375E2">
        <w:t>e) mentioned that the CESIR standardization efforts by the JU has gotten positive feedback from S</w:t>
      </w:r>
      <w:r w:rsidR="00766276">
        <w:t xml:space="preserve">olar </w:t>
      </w:r>
      <w:r w:rsidRPr="001375E2">
        <w:t>I</w:t>
      </w:r>
      <w:r w:rsidR="00766276">
        <w:t>ndustry</w:t>
      </w:r>
      <w:r w:rsidRPr="001375E2">
        <w:t xml:space="preserve">. There remain some details that that need to be clarified (i.e. SCADA section pass/fail wording). </w:t>
      </w:r>
      <w:r w:rsidR="005226E7">
        <w:t>N</w:t>
      </w:r>
      <w:r w:rsidR="00B70C57">
        <w:t xml:space="preserve">ew application going forward to use new </w:t>
      </w:r>
      <w:r w:rsidR="00281288">
        <w:t xml:space="preserve">CESIR </w:t>
      </w:r>
      <w:r w:rsidR="00B70C57">
        <w:t>format by June 15</w:t>
      </w:r>
      <w:r w:rsidR="00B70C57" w:rsidRPr="00B70C57">
        <w:rPr>
          <w:vertAlign w:val="superscript"/>
        </w:rPr>
        <w:t>th</w:t>
      </w:r>
      <w:r w:rsidR="00B70C57">
        <w:t>.</w:t>
      </w:r>
    </w:p>
    <w:p w:rsidR="00766276" w:rsidRDefault="00766276" w:rsidP="0076627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JU CESIR Draft </w:t>
      </w:r>
      <w:r w:rsidR="00CB02F8">
        <w:rPr>
          <w:rFonts w:eastAsia="Times New Roman"/>
        </w:rPr>
        <w:t>discussion (led by Heather</w:t>
      </w:r>
      <w:r>
        <w:rPr>
          <w:rFonts w:eastAsia="Times New Roman"/>
        </w:rPr>
        <w:t>):</w:t>
      </w:r>
    </w:p>
    <w:p w:rsidR="00766276" w:rsidRDefault="00766276" w:rsidP="00766276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Battery storage not considered at this draft, will be added later</w:t>
      </w:r>
    </w:p>
    <w:p w:rsidR="00766276" w:rsidRDefault="00766276" w:rsidP="00766276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More a guidance document. Customers can decide how they meet the requirements.</w:t>
      </w:r>
    </w:p>
    <w:p w:rsidR="00766276" w:rsidRDefault="00766276" w:rsidP="00766276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Contingency vs. variance discussion, SIR allows 25% contingency across the board</w:t>
      </w:r>
    </w:p>
    <w:p w:rsidR="00766276" w:rsidRDefault="00766276" w:rsidP="00766276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It would be great to mention at CESIR what needs to be known before going out to field for deployment</w:t>
      </w:r>
    </w:p>
    <w:p w:rsidR="00766276" w:rsidRDefault="00766276" w:rsidP="00766276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National Grid (Chris Vance) offered to start using the document and provide feedback as needed</w:t>
      </w:r>
    </w:p>
    <w:p w:rsidR="005226E7" w:rsidRDefault="005226E7">
      <w:pPr>
        <w:rPr>
          <w:b/>
        </w:rPr>
      </w:pPr>
    </w:p>
    <w:p w:rsidR="00B70C57" w:rsidRDefault="00DA2F8B">
      <w:pPr>
        <w:rPr>
          <w:b/>
        </w:rPr>
      </w:pPr>
      <w:r w:rsidRPr="00DA2F8B">
        <w:rPr>
          <w:b/>
        </w:rPr>
        <w:t>Effective Grounding – Solar Industry (Shay)</w:t>
      </w:r>
    </w:p>
    <w:p w:rsidR="00281288" w:rsidRPr="00281288" w:rsidRDefault="00281288">
      <w:r>
        <w:t>There were some concerns from utility reps regarding diagrams in Shay’s slides.</w:t>
      </w:r>
    </w:p>
    <w:p w:rsidR="00DA2F8B" w:rsidRDefault="00DA2F8B" w:rsidP="00DA2F8B">
      <w:pPr>
        <w:pStyle w:val="ListParagraph"/>
        <w:numPr>
          <w:ilvl w:val="0"/>
          <w:numId w:val="1"/>
        </w:numPr>
      </w:pPr>
      <w:r>
        <w:t>Shift in industry to 1500V inverters</w:t>
      </w:r>
    </w:p>
    <w:p w:rsidR="00DA2F8B" w:rsidRDefault="00DA2F8B" w:rsidP="00DA2F8B">
      <w:pPr>
        <w:pStyle w:val="ListParagraph"/>
        <w:numPr>
          <w:ilvl w:val="1"/>
          <w:numId w:val="1"/>
        </w:numPr>
      </w:pPr>
      <w:r>
        <w:t>Labor savings</w:t>
      </w:r>
      <w:r w:rsidR="000C1884">
        <w:t xml:space="preserve"> (saves 4-5 cents/watt)</w:t>
      </w:r>
    </w:p>
    <w:p w:rsidR="00DA2F8B" w:rsidRDefault="00DA2F8B" w:rsidP="00DA2F8B">
      <w:pPr>
        <w:pStyle w:val="ListParagraph"/>
        <w:numPr>
          <w:ilvl w:val="1"/>
          <w:numId w:val="1"/>
        </w:numPr>
      </w:pPr>
      <w:r>
        <w:t>Projects cannot be built without these inverters</w:t>
      </w:r>
    </w:p>
    <w:p w:rsidR="00DA2F8B" w:rsidRDefault="00DA2F8B" w:rsidP="00DA2F8B">
      <w:pPr>
        <w:pStyle w:val="ListParagraph"/>
        <w:numPr>
          <w:ilvl w:val="1"/>
          <w:numId w:val="1"/>
        </w:numPr>
      </w:pPr>
      <w:r>
        <w:t>No 4-wire configuration</w:t>
      </w:r>
    </w:p>
    <w:p w:rsidR="00DA2F8B" w:rsidRDefault="00DA2F8B" w:rsidP="00DA2F8B">
      <w:pPr>
        <w:pStyle w:val="ListParagraph"/>
        <w:numPr>
          <w:ilvl w:val="0"/>
          <w:numId w:val="1"/>
        </w:numPr>
      </w:pPr>
      <w:r>
        <w:t>Goal</w:t>
      </w:r>
    </w:p>
    <w:p w:rsidR="00DA2F8B" w:rsidRDefault="00DA2F8B" w:rsidP="00DA2F8B">
      <w:pPr>
        <w:pStyle w:val="ListParagraph"/>
        <w:numPr>
          <w:ilvl w:val="1"/>
          <w:numId w:val="1"/>
        </w:numPr>
      </w:pPr>
      <w:r>
        <w:t>3 and 4-wire UL listed inverter to be permitted</w:t>
      </w:r>
    </w:p>
    <w:p w:rsidR="00DA2F8B" w:rsidRDefault="00DA2F8B" w:rsidP="00DA2F8B">
      <w:pPr>
        <w:pStyle w:val="ListParagraph"/>
        <w:numPr>
          <w:ilvl w:val="1"/>
          <w:numId w:val="1"/>
        </w:numPr>
      </w:pPr>
      <w:r>
        <w:t>Agreed upon approach to interconnection design that mitigates utility concerns for 3-wire inverters</w:t>
      </w:r>
    </w:p>
    <w:p w:rsidR="000C1884" w:rsidRDefault="000C1884" w:rsidP="000C1884">
      <w:pPr>
        <w:pStyle w:val="ListParagraph"/>
        <w:numPr>
          <w:ilvl w:val="0"/>
          <w:numId w:val="1"/>
        </w:numPr>
      </w:pPr>
      <w:r>
        <w:t>Shay Banton to look at providing their internal grounding table to the ITWG</w:t>
      </w:r>
    </w:p>
    <w:p w:rsidR="00FC7061" w:rsidRDefault="00FC7061" w:rsidP="00FC7061">
      <w:r>
        <w:t>Conclusions from slide:</w:t>
      </w:r>
    </w:p>
    <w:p w:rsidR="00FC7061" w:rsidRDefault="00FC7061" w:rsidP="00FC7061">
      <w:pPr>
        <w:pStyle w:val="ListParagraph"/>
        <w:numPr>
          <w:ilvl w:val="0"/>
          <w:numId w:val="1"/>
        </w:numPr>
      </w:pPr>
      <w:r>
        <w:t>The limitations placed on the use of three-wire inverters in some territories drastically limit the available options for inverters and should not be condoned.</w:t>
      </w:r>
    </w:p>
    <w:p w:rsidR="00FC7061" w:rsidRDefault="00FC7061" w:rsidP="00FC7061">
      <w:pPr>
        <w:pStyle w:val="ListParagraph"/>
        <w:numPr>
          <w:ilvl w:val="0"/>
          <w:numId w:val="1"/>
        </w:numPr>
      </w:pPr>
      <w:r>
        <w:t>The concerns of using three-wire inverters can be addressed and mitigated through the selection and sizing of the interconnection equipment which should be made standard across the utilities.</w:t>
      </w:r>
    </w:p>
    <w:p w:rsidR="00FC7061" w:rsidRDefault="00FC7061" w:rsidP="00FC7061">
      <w:pPr>
        <w:pStyle w:val="ListParagraph"/>
        <w:numPr>
          <w:ilvl w:val="0"/>
          <w:numId w:val="1"/>
        </w:numPr>
      </w:pPr>
      <w:r>
        <w:t xml:space="preserve">Assistance with solving interconnection issues such as </w:t>
      </w:r>
      <w:proofErr w:type="spellStart"/>
      <w:r>
        <w:t>backfeeding</w:t>
      </w:r>
      <w:proofErr w:type="spellEnd"/>
      <w:r>
        <w:t xml:space="preserve"> should be given by the JU to increase developer understanding of the utility’s concerns and ultimately find an agreed upon solution in a timely manner.</w:t>
      </w:r>
    </w:p>
    <w:p w:rsidR="00281288" w:rsidRDefault="00281288" w:rsidP="00281288">
      <w:pPr>
        <w:rPr>
          <w:b/>
        </w:rPr>
      </w:pPr>
      <w:r w:rsidRPr="00DA2F8B">
        <w:rPr>
          <w:b/>
        </w:rPr>
        <w:t>Effective Grounding</w:t>
      </w:r>
      <w:r>
        <w:rPr>
          <w:b/>
        </w:rPr>
        <w:t xml:space="preserve"> – JU</w:t>
      </w:r>
    </w:p>
    <w:p w:rsidR="006C1102" w:rsidRPr="006C1102" w:rsidRDefault="006C1102" w:rsidP="00281288">
      <w:r w:rsidRPr="006C1102">
        <w:t>Effective grounding risks</w:t>
      </w:r>
      <w:r>
        <w:t xml:space="preserve"> and mitigation</w:t>
      </w:r>
      <w:r w:rsidRPr="006C1102">
        <w:t>:</w:t>
      </w:r>
    </w:p>
    <w:p w:rsidR="006C1102" w:rsidRDefault="006C1102" w:rsidP="006C1102">
      <w:pPr>
        <w:pStyle w:val="ListParagraph"/>
        <w:numPr>
          <w:ilvl w:val="0"/>
          <w:numId w:val="1"/>
        </w:numPr>
      </w:pPr>
      <w:r>
        <w:t>Single phase ground fault can cause overvoltage</w:t>
      </w:r>
      <w:r w:rsidR="00691352">
        <w:t xml:space="preserve"> (up to 173% of nominal)</w:t>
      </w:r>
      <w:r>
        <w:t xml:space="preserve"> on other phases which can damage utility/customer equipment and is also a safety concern</w:t>
      </w:r>
    </w:p>
    <w:p w:rsidR="006C1102" w:rsidRDefault="006C1102" w:rsidP="006C1102">
      <w:pPr>
        <w:pStyle w:val="ListParagraph"/>
        <w:numPr>
          <w:ilvl w:val="0"/>
          <w:numId w:val="1"/>
        </w:numPr>
      </w:pPr>
      <w:r>
        <w:t>Effective Grounding limits overvoltage to 125-138% of nominal voltage</w:t>
      </w:r>
    </w:p>
    <w:p w:rsidR="006C1102" w:rsidRPr="00691352" w:rsidRDefault="00691352" w:rsidP="00281288">
      <w:pPr>
        <w:pStyle w:val="ListParagraph"/>
        <w:numPr>
          <w:ilvl w:val="0"/>
          <w:numId w:val="1"/>
        </w:numPr>
        <w:rPr>
          <w:b/>
        </w:rPr>
      </w:pPr>
      <w:r>
        <w:t>Effectively grounded systems allow utility fault protections to detect the fault</w:t>
      </w:r>
    </w:p>
    <w:p w:rsidR="005B6B38" w:rsidRDefault="006A68B4" w:rsidP="00281288">
      <w:r>
        <w:lastRenderedPageBreak/>
        <w:t>Protective Equipment</w:t>
      </w:r>
      <w:r w:rsidR="005131F7">
        <w:t>:</w:t>
      </w:r>
    </w:p>
    <w:p w:rsidR="006A68B4" w:rsidRDefault="006A68B4" w:rsidP="006A68B4">
      <w:pPr>
        <w:pStyle w:val="ListParagraph"/>
        <w:numPr>
          <w:ilvl w:val="0"/>
          <w:numId w:val="1"/>
        </w:numPr>
      </w:pPr>
      <w:r>
        <w:t>Multiple ground sources from DG/ESS can cause utility protection schemes to not work as designed because schemes may not be able to see the fault</w:t>
      </w:r>
    </w:p>
    <w:p w:rsidR="006A68B4" w:rsidRDefault="006A68B4" w:rsidP="006A68B4">
      <w:pPr>
        <w:pStyle w:val="ListParagraph"/>
        <w:numPr>
          <w:ilvl w:val="0"/>
          <w:numId w:val="1"/>
        </w:numPr>
      </w:pPr>
      <w:r>
        <w:t>Mitigation of this is to require DG/ESS to limit their fault current or zero fault current when not generating</w:t>
      </w:r>
    </w:p>
    <w:p w:rsidR="009638E3" w:rsidRDefault="009638E3" w:rsidP="009638E3">
      <w:r>
        <w:t>Effective Grounding Benchmarking:</w:t>
      </w:r>
    </w:p>
    <w:p w:rsidR="009638E3" w:rsidRDefault="00124200" w:rsidP="009638E3">
      <w:pPr>
        <w:pStyle w:val="ListParagraph"/>
        <w:numPr>
          <w:ilvl w:val="0"/>
          <w:numId w:val="1"/>
        </w:numPr>
      </w:pPr>
      <w:r>
        <w:t>Grounding transformers</w:t>
      </w:r>
    </w:p>
    <w:p w:rsidR="00124200" w:rsidRDefault="00124200" w:rsidP="009638E3">
      <w:pPr>
        <w:pStyle w:val="ListParagraph"/>
        <w:numPr>
          <w:ilvl w:val="0"/>
          <w:numId w:val="1"/>
        </w:numPr>
      </w:pPr>
      <w:r>
        <w:t>Effective grounding requirements reference IEEE 1547.2</w:t>
      </w:r>
    </w:p>
    <w:p w:rsidR="00124200" w:rsidRPr="005B6B38" w:rsidRDefault="00124200" w:rsidP="009638E3">
      <w:pPr>
        <w:pStyle w:val="ListParagraph"/>
        <w:numPr>
          <w:ilvl w:val="0"/>
          <w:numId w:val="1"/>
        </w:numPr>
      </w:pPr>
      <w:r>
        <w:t>Require neutral reactor</w:t>
      </w:r>
    </w:p>
    <w:p w:rsidR="00281288" w:rsidRPr="005B6B38" w:rsidRDefault="005B6B38" w:rsidP="005B6B38">
      <w:r>
        <w:t>Conclusions from JU Slide:</w:t>
      </w:r>
    </w:p>
    <w:p w:rsidR="00281288" w:rsidRDefault="00281288" w:rsidP="005B6B38">
      <w:pPr>
        <w:pStyle w:val="ListParagraph"/>
        <w:numPr>
          <w:ilvl w:val="0"/>
          <w:numId w:val="1"/>
        </w:numPr>
      </w:pPr>
      <w:r>
        <w:t xml:space="preserve">Generation to load ratio is an important factor in how quickly an island will be detected and the consequences of an overvoltage. </w:t>
      </w:r>
    </w:p>
    <w:p w:rsidR="00281288" w:rsidRDefault="00281288" w:rsidP="005B6B38">
      <w:pPr>
        <w:pStyle w:val="ListParagraph"/>
        <w:numPr>
          <w:ilvl w:val="0"/>
          <w:numId w:val="1"/>
        </w:numPr>
      </w:pPr>
      <w:r>
        <w:t>The white paper authored by </w:t>
      </w:r>
      <w:proofErr w:type="spellStart"/>
      <w:r>
        <w:t>Solectria</w:t>
      </w:r>
      <w:proofErr w:type="spellEnd"/>
      <w:r>
        <w:t> indicates that a grounding transformer with a wye‐grounded </w:t>
      </w:r>
      <w:r w:rsidR="005B6B38">
        <w:t>to wye‐grounded transformer is </w:t>
      </w:r>
      <w:r>
        <w:t>required when the inverters are not grounded.</w:t>
      </w:r>
    </w:p>
    <w:p w:rsidR="00281288" w:rsidRDefault="00281288" w:rsidP="005B6B38">
      <w:pPr>
        <w:pStyle w:val="ListParagraph"/>
        <w:numPr>
          <w:ilvl w:val="0"/>
          <w:numId w:val="1"/>
        </w:numPr>
      </w:pPr>
      <w:r>
        <w:t>Inverters primarily act as curr</w:t>
      </w:r>
      <w:r w:rsidR="005B6B38">
        <w:t>ent sources, but not under all </w:t>
      </w:r>
      <w:r>
        <w:t>conditions.  When acting as constant</w:t>
      </w:r>
      <w:r w:rsidR="005B6B38">
        <w:t> power sources, voltage rise </w:t>
      </w:r>
      <w:r>
        <w:t xml:space="preserve">becomes a more significant challenge. </w:t>
      </w:r>
    </w:p>
    <w:p w:rsidR="00281288" w:rsidRDefault="00281288" w:rsidP="005B6B38">
      <w:pPr>
        <w:pStyle w:val="ListParagraph"/>
        <w:numPr>
          <w:ilvl w:val="0"/>
          <w:numId w:val="1"/>
        </w:numPr>
      </w:pPr>
      <w:r>
        <w:t>Without models detailing negative s</w:t>
      </w:r>
      <w:r w:rsidR="005B6B38">
        <w:t xml:space="preserve">equence impedances, the results </w:t>
      </w:r>
      <w:r>
        <w:t>are inconclusive.  The paper a</w:t>
      </w:r>
      <w:r w:rsidR="005B6B38">
        <w:t>uthored by Advanced Energy also</w:t>
      </w:r>
      <w:r>
        <w:t xml:space="preserve"> supports additional testing.</w:t>
      </w:r>
    </w:p>
    <w:p w:rsidR="005B6B38" w:rsidRDefault="005B6B38" w:rsidP="005B6B38">
      <w:pPr>
        <w:pStyle w:val="ListParagraph"/>
        <w:numPr>
          <w:ilvl w:val="0"/>
          <w:numId w:val="1"/>
        </w:numPr>
      </w:pPr>
      <w:r>
        <w:t xml:space="preserve">Effective grounding is important to the reliability of the utility system, operation of customer equipment, and public safety. </w:t>
      </w:r>
    </w:p>
    <w:p w:rsidR="005B6B38" w:rsidRDefault="005B6B38" w:rsidP="005B6B38">
      <w:pPr>
        <w:pStyle w:val="ListParagraph"/>
        <w:numPr>
          <w:ilvl w:val="0"/>
          <w:numId w:val="1"/>
        </w:numPr>
      </w:pPr>
      <w:r>
        <w:t>Advances in IEEE Standards may influence how inverter based systems can be effectively grounded.</w:t>
      </w:r>
    </w:p>
    <w:p w:rsidR="005B6B38" w:rsidRDefault="005B6B38" w:rsidP="005B6B38">
      <w:pPr>
        <w:pStyle w:val="ListParagraph"/>
        <w:numPr>
          <w:ilvl w:val="0"/>
          <w:numId w:val="1"/>
        </w:numPr>
      </w:pPr>
      <w:r>
        <w:t>Additional lab testing and inverter model information is required to validate model results presented in recent whitepapers. </w:t>
      </w:r>
    </w:p>
    <w:p w:rsidR="00853740" w:rsidRDefault="00853740" w:rsidP="00853740">
      <w:pPr>
        <w:rPr>
          <w:b/>
        </w:rPr>
      </w:pPr>
      <w:r w:rsidRPr="00853740">
        <w:rPr>
          <w:b/>
        </w:rPr>
        <w:t>SIR Updates and Comments</w:t>
      </w:r>
    </w:p>
    <w:p w:rsidR="005226E7" w:rsidRDefault="00853740" w:rsidP="005226E7">
      <w:pPr>
        <w:pStyle w:val="ListParagraph"/>
        <w:numPr>
          <w:ilvl w:val="0"/>
          <w:numId w:val="1"/>
        </w:numPr>
      </w:pPr>
      <w:r>
        <w:t>JU and Solar Industry seem to be ok with</w:t>
      </w:r>
      <w:r w:rsidR="005226E7">
        <w:t xml:space="preserve"> the updates for the most part.</w:t>
      </w:r>
    </w:p>
    <w:p w:rsidR="00853740" w:rsidRDefault="00853740" w:rsidP="005226E7">
      <w:pPr>
        <w:pStyle w:val="ListParagraph"/>
        <w:numPr>
          <w:ilvl w:val="0"/>
          <w:numId w:val="1"/>
        </w:numPr>
      </w:pPr>
      <w:r>
        <w:t>There are some errors and typos that nee</w:t>
      </w:r>
      <w:r w:rsidR="005226E7">
        <w:t>d to be corrected from DPS side.</w:t>
      </w:r>
    </w:p>
    <w:p w:rsidR="005226E7" w:rsidRPr="005226E7" w:rsidRDefault="005226E7" w:rsidP="005226E7">
      <w:r w:rsidRPr="005226E7">
        <w:rPr>
          <w:b/>
        </w:rPr>
        <w:t>Technical Screens</w:t>
      </w:r>
    </w:p>
    <w:p w:rsidR="005226E7" w:rsidRDefault="005226E7" w:rsidP="005226E7">
      <w:pPr>
        <w:numPr>
          <w:ilvl w:val="0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Discussion on simple pass/fail vs. other descriptors</w:t>
      </w:r>
    </w:p>
    <w:p w:rsidR="005226E7" w:rsidRDefault="005226E7" w:rsidP="005226E7">
      <w:pPr>
        <w:numPr>
          <w:ilvl w:val="0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Automated screens</w:t>
      </w:r>
    </w:p>
    <w:p w:rsidR="005226E7" w:rsidRDefault="005226E7" w:rsidP="005226E7">
      <w:pPr>
        <w:numPr>
          <w:ilvl w:val="0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DPS going to Phase 2 (prelims are same, supplementary screens are/will change)</w:t>
      </w:r>
    </w:p>
    <w:p w:rsidR="005226E7" w:rsidRDefault="005226E7" w:rsidP="005226E7">
      <w:pPr>
        <w:numPr>
          <w:ilvl w:val="0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Discussion on voltage flicker stiffness test</w:t>
      </w:r>
    </w:p>
    <w:p w:rsidR="005226E7" w:rsidRDefault="005226E7" w:rsidP="005226E7">
      <w:pPr>
        <w:numPr>
          <w:ilvl w:val="0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Suggestion to look at the screens in monthly calls</w:t>
      </w:r>
    </w:p>
    <w:p w:rsidR="005226E7" w:rsidRDefault="005226E7" w:rsidP="00853740"/>
    <w:p w:rsidR="005226E7" w:rsidRDefault="005226E7" w:rsidP="005226E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NYSERDA PON for Grid Modernization</w:t>
      </w:r>
    </w:p>
    <w:p w:rsidR="005226E7" w:rsidRDefault="005226E7" w:rsidP="005226E7">
      <w:pPr>
        <w:spacing w:after="0" w:line="240" w:lineRule="auto"/>
        <w:rPr>
          <w:rFonts w:eastAsia="Times New Roman"/>
          <w:b/>
        </w:rPr>
      </w:pPr>
    </w:p>
    <w:p w:rsidR="005226E7" w:rsidRPr="005226E7" w:rsidRDefault="005226E7" w:rsidP="005226E7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5226E7">
        <w:rPr>
          <w:rFonts w:eastAsia="Times New Roman"/>
        </w:rPr>
        <w:t>Dave Crudele mentioned that NYSERDA is now accepting proposals on an open PON for grid modernization</w:t>
      </w:r>
    </w:p>
    <w:p w:rsidR="005226E7" w:rsidRDefault="005226E7" w:rsidP="005226E7">
      <w:pPr>
        <w:spacing w:after="0" w:line="240" w:lineRule="auto"/>
        <w:rPr>
          <w:rFonts w:eastAsia="Times New Roman"/>
        </w:rPr>
      </w:pPr>
    </w:p>
    <w:p w:rsidR="00CB02F8" w:rsidRDefault="00CB02F8" w:rsidP="005226E7">
      <w:pPr>
        <w:spacing w:after="0" w:line="240" w:lineRule="auto"/>
        <w:rPr>
          <w:rFonts w:eastAsia="Times New Roman"/>
          <w:b/>
        </w:rPr>
      </w:pPr>
    </w:p>
    <w:p w:rsidR="00CB02F8" w:rsidRDefault="00CB02F8" w:rsidP="005226E7">
      <w:pPr>
        <w:spacing w:after="0" w:line="240" w:lineRule="auto"/>
        <w:rPr>
          <w:rFonts w:eastAsia="Times New Roman"/>
          <w:b/>
        </w:rPr>
      </w:pPr>
    </w:p>
    <w:p w:rsidR="005226E7" w:rsidRPr="005226E7" w:rsidRDefault="005226E7" w:rsidP="005226E7">
      <w:pPr>
        <w:spacing w:after="0" w:line="240" w:lineRule="auto"/>
        <w:rPr>
          <w:rFonts w:eastAsia="Times New Roman"/>
          <w:b/>
        </w:rPr>
      </w:pPr>
      <w:bookmarkStart w:id="0" w:name="_GoBack"/>
      <w:bookmarkEnd w:id="0"/>
      <w:r w:rsidRPr="005226E7">
        <w:rPr>
          <w:rFonts w:eastAsia="Times New Roman"/>
          <w:b/>
        </w:rPr>
        <w:t xml:space="preserve">Suggested agenda items for 6/20 </w:t>
      </w:r>
      <w:r>
        <w:rPr>
          <w:rFonts w:eastAsia="Times New Roman"/>
          <w:b/>
        </w:rPr>
        <w:t xml:space="preserve">ITWG </w:t>
      </w:r>
      <w:r w:rsidRPr="005226E7">
        <w:rPr>
          <w:rFonts w:eastAsia="Times New Roman"/>
          <w:b/>
        </w:rPr>
        <w:t>meeting:</w:t>
      </w:r>
    </w:p>
    <w:p w:rsidR="005226E7" w:rsidRDefault="005226E7" w:rsidP="005226E7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3V0 analysis by </w:t>
      </w:r>
      <w:proofErr w:type="spellStart"/>
      <w:r>
        <w:rPr>
          <w:rFonts w:eastAsia="Times New Roman"/>
        </w:rPr>
        <w:t>Pterra</w:t>
      </w:r>
      <w:proofErr w:type="spellEnd"/>
    </w:p>
    <w:p w:rsidR="005226E7" w:rsidRDefault="005226E7" w:rsidP="005226E7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Interconnection projects review under NYSERDA PON 3404</w:t>
      </w:r>
    </w:p>
    <w:p w:rsidR="005226E7" w:rsidRDefault="005226E7" w:rsidP="005226E7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Monitoring and control</w:t>
      </w:r>
    </w:p>
    <w:p w:rsidR="005226E7" w:rsidRDefault="005226E7" w:rsidP="005226E7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Smart inverters</w:t>
      </w:r>
    </w:p>
    <w:p w:rsidR="005226E7" w:rsidRPr="005226E7" w:rsidRDefault="005226E7" w:rsidP="005226E7">
      <w:pPr>
        <w:spacing w:after="0" w:line="240" w:lineRule="auto"/>
        <w:rPr>
          <w:rFonts w:eastAsia="Times New Roman"/>
        </w:rPr>
      </w:pPr>
    </w:p>
    <w:p w:rsidR="005226E7" w:rsidRPr="005226E7" w:rsidRDefault="005226E7" w:rsidP="005226E7">
      <w:pPr>
        <w:spacing w:after="0" w:line="240" w:lineRule="auto"/>
        <w:rPr>
          <w:rFonts w:eastAsia="Times New Roman"/>
          <w:b/>
        </w:rPr>
      </w:pPr>
    </w:p>
    <w:p w:rsidR="005226E7" w:rsidRPr="00853740" w:rsidRDefault="005226E7" w:rsidP="00853740"/>
    <w:sectPr w:rsidR="005226E7" w:rsidRPr="0085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97A"/>
    <w:multiLevelType w:val="hybridMultilevel"/>
    <w:tmpl w:val="233E62D6"/>
    <w:lvl w:ilvl="0" w:tplc="C85AB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85ABB1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7192"/>
    <w:multiLevelType w:val="hybridMultilevel"/>
    <w:tmpl w:val="8B5E0F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96C"/>
    <w:multiLevelType w:val="hybridMultilevel"/>
    <w:tmpl w:val="0D724608"/>
    <w:lvl w:ilvl="0" w:tplc="C85AB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0276B"/>
    <w:multiLevelType w:val="hybridMultilevel"/>
    <w:tmpl w:val="CEECE9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446FA"/>
    <w:multiLevelType w:val="hybridMultilevel"/>
    <w:tmpl w:val="2B8E2B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3141"/>
    <w:multiLevelType w:val="hybridMultilevel"/>
    <w:tmpl w:val="F3EAEF72"/>
    <w:lvl w:ilvl="0" w:tplc="C85AB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772D9"/>
    <w:multiLevelType w:val="hybridMultilevel"/>
    <w:tmpl w:val="84588A4A"/>
    <w:lvl w:ilvl="0" w:tplc="C85AB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85ABB1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E5EC0"/>
    <w:multiLevelType w:val="hybridMultilevel"/>
    <w:tmpl w:val="70F256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85ABB1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95E85"/>
    <w:multiLevelType w:val="hybridMultilevel"/>
    <w:tmpl w:val="C76E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10120"/>
    <w:multiLevelType w:val="hybridMultilevel"/>
    <w:tmpl w:val="9732B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85ABB1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15E73"/>
    <w:multiLevelType w:val="hybridMultilevel"/>
    <w:tmpl w:val="7904F4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3B"/>
    <w:rsid w:val="000C1884"/>
    <w:rsid w:val="00124200"/>
    <w:rsid w:val="0013471C"/>
    <w:rsid w:val="001375E2"/>
    <w:rsid w:val="0014093B"/>
    <w:rsid w:val="00143D11"/>
    <w:rsid w:val="00281288"/>
    <w:rsid w:val="002A5AAB"/>
    <w:rsid w:val="0036427E"/>
    <w:rsid w:val="005131F7"/>
    <w:rsid w:val="005226E7"/>
    <w:rsid w:val="00544371"/>
    <w:rsid w:val="005B6B38"/>
    <w:rsid w:val="00691352"/>
    <w:rsid w:val="006A68B4"/>
    <w:rsid w:val="006C1102"/>
    <w:rsid w:val="00766276"/>
    <w:rsid w:val="00853740"/>
    <w:rsid w:val="009638E3"/>
    <w:rsid w:val="00B26F4B"/>
    <w:rsid w:val="00B70C57"/>
    <w:rsid w:val="00CB02F8"/>
    <w:rsid w:val="00DA2F8B"/>
    <w:rsid w:val="00E54E85"/>
    <w:rsid w:val="00EB7D0E"/>
    <w:rsid w:val="00FC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5A18B"/>
  <w15:chartTrackingRefBased/>
  <w15:docId w15:val="{7BBFCE37-449F-4DDF-9FBC-ABE637FF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Chowdhury, Shahriar (DPS)</dc:creator>
  <cp:keywords/>
  <dc:description/>
  <cp:lastModifiedBy>Pause, Jason (DPS)</cp:lastModifiedBy>
  <cp:revision>2</cp:revision>
  <dcterms:created xsi:type="dcterms:W3CDTF">2018-05-30T15:45:00Z</dcterms:created>
  <dcterms:modified xsi:type="dcterms:W3CDTF">2018-05-30T15:45:00Z</dcterms:modified>
</cp:coreProperties>
</file>